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C4C" w:rsidRDefault="00C37A1C">
      <w:r>
        <w:t>Séminaire : Critiques queer/féministes de l’Etat</w:t>
      </w:r>
    </w:p>
    <w:p w:rsidR="00C37A1C" w:rsidRDefault="00C37A1C"/>
    <w:p w:rsidR="00C37A1C" w:rsidRDefault="00C37A1C">
      <w:r>
        <w:t>2</w:t>
      </w:r>
      <w:r w:rsidRPr="00C37A1C">
        <w:rPr>
          <w:vertAlign w:val="superscript"/>
        </w:rPr>
        <w:t>ème</w:t>
      </w:r>
      <w:r>
        <w:t xml:space="preserve"> semestre, printemps 2018, Saint-Denis</w:t>
      </w:r>
    </w:p>
    <w:p w:rsidR="00C37A1C" w:rsidRDefault="00C37A1C"/>
    <w:p w:rsidR="00C37A1C" w:rsidRDefault="000C6E75">
      <w:r>
        <w:t>Cornelia Möser et Marion Tillous</w:t>
      </w:r>
    </w:p>
    <w:p w:rsidR="00C37A1C" w:rsidRDefault="00C37A1C"/>
    <w:p w:rsidR="003C5978" w:rsidRDefault="003C5978">
      <w:r>
        <w:t xml:space="preserve">Les critiques queer/féministes de l’Etat ont, dans un dialogue constant avec les luttes et </w:t>
      </w:r>
      <w:r w:rsidR="000C6E75">
        <w:t xml:space="preserve">les </w:t>
      </w:r>
      <w:r>
        <w:t xml:space="preserve">théories marxistes et anarchistes, porté </w:t>
      </w:r>
      <w:r w:rsidR="000C6E75">
        <w:t xml:space="preserve">sur lui </w:t>
      </w:r>
      <w:r>
        <w:t xml:space="preserve">un regard </w:t>
      </w:r>
      <w:r w:rsidR="00492457">
        <w:t>multiple</w:t>
      </w:r>
      <w:r>
        <w:t xml:space="preserve">: tantôt patriarcal et définitivement mâle (MacKinnon), tantôt – tenant compte en cela du rapport complexe des luttes féministes </w:t>
      </w:r>
      <w:r w:rsidR="008641DD">
        <w:t>et queer</w:t>
      </w:r>
      <w:r>
        <w:t>aux différentes sphères de l’Etat – champ de bataille sur lequel des victoires sont possibles</w:t>
      </w:r>
      <w:r w:rsidR="008641DD">
        <w:t xml:space="preserve"> (Alvarez, MacDowell Santos)</w:t>
      </w:r>
      <w:r>
        <w:t xml:space="preserve">, les </w:t>
      </w:r>
      <w:r w:rsidR="008641DD">
        <w:t xml:space="preserve">analyses et </w:t>
      </w:r>
      <w:r w:rsidR="000C6E75">
        <w:t>stratégies diffè</w:t>
      </w:r>
      <w:r>
        <w:t>rent à son égard selon qu’il apparaît comme un</w:t>
      </w:r>
      <w:r w:rsidR="008641DD">
        <w:t>e</w:t>
      </w:r>
      <w:r>
        <w:t xml:space="preserve"> structure de pouvoir </w:t>
      </w:r>
      <w:r w:rsidR="008641DD">
        <w:t xml:space="preserve">(Ludwig, Spade) </w:t>
      </w:r>
      <w:r>
        <w:t xml:space="preserve">ou comme un cadre qui peut accueillir le pire – un gouvernement néolibéral – comme le meilleur – un gouvernement socialiste ? </w:t>
      </w:r>
      <w:r w:rsidR="000C6E75">
        <w:t>-.</w:t>
      </w:r>
    </w:p>
    <w:p w:rsidR="003C5978" w:rsidRDefault="003C5978"/>
    <w:p w:rsidR="00C37A1C" w:rsidRDefault="00911850">
      <w:r>
        <w:t>Ces ap</w:t>
      </w:r>
      <w:r w:rsidR="000C6E75">
        <w:t>proches sont traversées par</w:t>
      </w:r>
      <w:r w:rsidR="003C5978">
        <w:t xml:space="preserve"> des </w:t>
      </w:r>
      <w:r w:rsidR="000C6E75">
        <w:t xml:space="preserve">questions et des dilemmes </w:t>
      </w:r>
      <w:r w:rsidR="003C5978">
        <w:t>convergen</w:t>
      </w:r>
      <w:r w:rsidR="008641DD">
        <w:t>t</w:t>
      </w:r>
      <w:r w:rsidR="003C5978">
        <w:t>s</w:t>
      </w:r>
      <w:r w:rsidR="008641DD">
        <w:t xml:space="preserve"> : quel rôle joue le genre dans la construction de l’Etat moderne ? Quelles sont les responsabilités de l’Etat dans la distinction des sphères publiques et privées ? Comment penser l’unicité d’un organe qui assure à la fois des tâches sécuritaires et sollicitaires (à quoi ressemble le corps dont on perçoit les mains droite et gauche) ? que faire de la </w:t>
      </w:r>
      <w:r>
        <w:t>tension constante entre l’analyse de l’histoire colonialiste et patriarcale de cette institution et les différentes tentatives de la transformer en</w:t>
      </w:r>
      <w:r w:rsidR="008641DD">
        <w:t xml:space="preserve"> institutionnalisant des luttes ?</w:t>
      </w:r>
    </w:p>
    <w:p w:rsidR="00911850" w:rsidRDefault="00911850"/>
    <w:p w:rsidR="00911850" w:rsidRDefault="00911850">
      <w:r>
        <w:t>Ce séminaire propose d’approcher ces questions vastes et compliquées en se concen</w:t>
      </w:r>
      <w:r w:rsidR="00492457">
        <w:t>trant sur trois perspectives : n</w:t>
      </w:r>
      <w:r>
        <w:t>ous souhaitons discuter des perspectives historiques qui s’intéressent à l’établissement de l’Etat moderne et du rôle que le genre et la sexualité ont pu jouer dans ce processus. Deuxièmement nous souhaitons comprendre sur un plan analytique comment s’articule</w:t>
      </w:r>
      <w:r w:rsidR="00C0797B">
        <w:t>nt</w:t>
      </w:r>
      <w:r>
        <w:t xml:space="preserve"> le genre et l’Etat dans une perspective intersectionnelle</w:t>
      </w:r>
      <w:r w:rsidR="00492457">
        <w:t xml:space="preserve"> essayant de comprendre sonactualisation </w:t>
      </w:r>
      <w:r w:rsidR="00C0797B">
        <w:t>dans différents contextes. La troisième perspective s’intéresse aux alternatives, aux utopies et aux contre-exemples, c’est-à-dire aux structures anti-institutionnelles, aux pratiques politiques collectives en dehors de l’Etat.</w:t>
      </w:r>
    </w:p>
    <w:p w:rsidR="00227133" w:rsidRDefault="00227133"/>
    <w:p w:rsidR="00227133" w:rsidRDefault="00227133">
      <w:r>
        <w:t>Nous avons remarqué une curieuse faiblesse de cette question dans la recherche féministe francophone à laquelle nous souhaitons répondre en proposant ce séminaire. Il croisera des perspectives géographiques (sur l’organisation des espaces politiques</w:t>
      </w:r>
      <w:r w:rsidR="00492457">
        <w:t xml:space="preserve"> et sur la distinction entre espaces publics / privés</w:t>
      </w:r>
      <w:r>
        <w:t>), philosophiques (sur le lien entre devenir sujet et constitution de l’Etat), les sciences politiques (sur l’organisation institutionnelles de la politique) et les études de genre (en ce qui concerne la nature genrée de l’Etat et l’hétéronormativité de ses institutions).</w:t>
      </w:r>
    </w:p>
    <w:p w:rsidR="00227133" w:rsidRDefault="00227133"/>
    <w:p w:rsidR="008C6C34" w:rsidRPr="008C6C34" w:rsidRDefault="008C6C34">
      <w:pPr>
        <w:rPr>
          <w:b/>
        </w:rPr>
      </w:pPr>
      <w:r>
        <w:br w:type="column"/>
      </w:r>
      <w:r w:rsidRPr="008C6C34">
        <w:rPr>
          <w:b/>
        </w:rPr>
        <w:lastRenderedPageBreak/>
        <w:t xml:space="preserve">Programme </w:t>
      </w:r>
    </w:p>
    <w:p w:rsidR="008C6C34" w:rsidRDefault="008C6C34" w:rsidP="008C6C34">
      <w:bookmarkStart w:id="0" w:name="_GoBack"/>
      <w:bookmarkEnd w:id="0"/>
    </w:p>
    <w:p w:rsidR="008C6C34" w:rsidRDefault="008C6C34" w:rsidP="008C6C34">
      <w:r>
        <w:t>1) Introduction</w:t>
      </w:r>
    </w:p>
    <w:p w:rsidR="008C6C34" w:rsidRDefault="008C6C34" w:rsidP="008C6C34"/>
    <w:p w:rsidR="008C6C34" w:rsidRDefault="008C6C34" w:rsidP="008C6C34">
      <w:r>
        <w:t xml:space="preserve">2) Comment l’État-nation patriarcal et colonialiste est-il apparu ? </w:t>
      </w:r>
    </w:p>
    <w:p w:rsidR="008C6C34" w:rsidRDefault="008C6C34" w:rsidP="008C6C34"/>
    <w:p w:rsidR="008C6C34" w:rsidRDefault="008C6C34" w:rsidP="008C6C34">
      <w:r>
        <w:t>3) L’Etat et la conscience d’être exclu·e</w:t>
      </w:r>
    </w:p>
    <w:p w:rsidR="008C6C34" w:rsidRDefault="008C6C34" w:rsidP="008C6C34"/>
    <w:p w:rsidR="008C6C34" w:rsidRDefault="008C6C34" w:rsidP="008C6C34">
      <w:r>
        <w:t xml:space="preserve">4) « On ne peut pas ne pas vouloir de droits » ? Les limites et l’importance du légalisme. </w:t>
      </w:r>
    </w:p>
    <w:p w:rsidR="008C6C34" w:rsidRDefault="008C6C34" w:rsidP="008C6C34"/>
    <w:p w:rsidR="008C6C34" w:rsidRDefault="008C6C34" w:rsidP="008C6C34">
      <w:r>
        <w:t>5) L’Etat comme champ de bataille. Quelles stratégies de lutte ?</w:t>
      </w:r>
    </w:p>
    <w:p w:rsidR="008C6C34" w:rsidRDefault="008C6C34" w:rsidP="008C6C34"/>
    <w:p w:rsidR="008C6C34" w:rsidRDefault="008C6C34" w:rsidP="008C6C34">
      <w:r>
        <w:t xml:space="preserve">6) S’intégrer pour transformer ? L’institutionnalisation des luttes féministes. </w:t>
      </w:r>
    </w:p>
    <w:p w:rsidR="008C6C34" w:rsidRDefault="008C6C34" w:rsidP="008C6C34"/>
    <w:p w:rsidR="008C6C34" w:rsidRDefault="008C6C34" w:rsidP="008C6C34">
      <w:r>
        <w:t xml:space="preserve">7) L’Etat comme bande de mecs. Sur l’hétéronormativité. </w:t>
      </w:r>
    </w:p>
    <w:p w:rsidR="008C6C34" w:rsidRDefault="008C6C34" w:rsidP="008C6C34"/>
    <w:p w:rsidR="008C6C34" w:rsidRPr="008C6C34" w:rsidRDefault="008C6C34" w:rsidP="008C6C34">
      <w:r>
        <w:t>8) Violences d’Etat, violences de genre.</w:t>
      </w:r>
    </w:p>
    <w:p w:rsidR="008C6C34" w:rsidRPr="008C6C34" w:rsidRDefault="008C6C34" w:rsidP="008C6C34"/>
    <w:p w:rsidR="008C6C34" w:rsidRPr="008C6C34" w:rsidRDefault="008C6C34" w:rsidP="008C6C34">
      <w:r>
        <w:t xml:space="preserve">9) Les Etats entre eux avec et contre les luttes féministes. </w:t>
      </w:r>
    </w:p>
    <w:p w:rsidR="008C6C34" w:rsidRDefault="008C6C34" w:rsidP="008C6C34"/>
    <w:p w:rsidR="008C6C34" w:rsidRDefault="008C6C34" w:rsidP="008C6C34">
      <w:r>
        <w:t>10) Utopies, alternatives et s’organiser sans l’Etat I. Perspectives anarcha-féministes : le Chiapas.</w:t>
      </w:r>
    </w:p>
    <w:p w:rsidR="008C6C34" w:rsidRDefault="008C6C34" w:rsidP="008C6C34"/>
    <w:p w:rsidR="008C6C34" w:rsidRDefault="008C6C34" w:rsidP="008C6C34">
      <w:r>
        <w:t>11) Utopies, alternatives et s’organiser sans l’Etat II. Perspectives anarcha-féministes : Saint-Denis</w:t>
      </w:r>
    </w:p>
    <w:p w:rsidR="008C6C34" w:rsidRDefault="008C6C34" w:rsidP="008C6C34"/>
    <w:p w:rsidR="008C6C34" w:rsidRDefault="008C6C34" w:rsidP="008C6C34">
      <w:r>
        <w:t>12) Séance libre</w:t>
      </w:r>
    </w:p>
    <w:p w:rsidR="008C6C34" w:rsidRDefault="008C6C34" w:rsidP="008C6C34"/>
    <w:p w:rsidR="008C6C34" w:rsidRDefault="008C6C34" w:rsidP="008C6C34">
      <w:r>
        <w:t>13) Discussion finale</w:t>
      </w:r>
    </w:p>
    <w:p w:rsidR="008C6C34" w:rsidRDefault="008C6C34" w:rsidP="008C6C34"/>
    <w:p w:rsidR="008C6C34" w:rsidRDefault="008C6C34"/>
    <w:p w:rsidR="00227133" w:rsidRDefault="00227133"/>
    <w:sectPr w:rsidR="00227133" w:rsidSect="00957C4C">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compat>
  <w:rsids>
    <w:rsidRoot w:val="00C37A1C"/>
    <w:rsid w:val="000C6E75"/>
    <w:rsid w:val="001560BC"/>
    <w:rsid w:val="00227133"/>
    <w:rsid w:val="003471F9"/>
    <w:rsid w:val="003C5978"/>
    <w:rsid w:val="00492457"/>
    <w:rsid w:val="004A17FB"/>
    <w:rsid w:val="008641DD"/>
    <w:rsid w:val="008C6C34"/>
    <w:rsid w:val="00911850"/>
    <w:rsid w:val="00957C4C"/>
    <w:rsid w:val="00A91AFB"/>
    <w:rsid w:val="00C0797B"/>
    <w:rsid w:val="00C37A1C"/>
    <w:rsid w:val="00EE249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560BC"/>
    <w:rPr>
      <w:rFonts w:ascii="Times New Roman" w:hAnsi="Times New Roman"/>
      <w:sz w:val="20"/>
    </w:rPr>
  </w:style>
  <w:style w:type="character" w:customStyle="1" w:styleId="NotedebasdepageCar">
    <w:name w:val="Note de bas de page Car"/>
    <w:basedOn w:val="Policepardfaut"/>
    <w:link w:val="Notedebasdepage"/>
    <w:uiPriority w:val="99"/>
    <w:rsid w:val="001560BC"/>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560BC"/>
    <w:rPr>
      <w:rFonts w:ascii="Times New Roman" w:hAnsi="Times New Roman"/>
      <w:sz w:val="20"/>
    </w:rPr>
  </w:style>
  <w:style w:type="character" w:customStyle="1" w:styleId="NotedebasdepageCar">
    <w:name w:val="Note de bas de page Car"/>
    <w:basedOn w:val="Policepardfaut"/>
    <w:link w:val="Notedebasdepage"/>
    <w:uiPriority w:val="99"/>
    <w:rsid w:val="001560BC"/>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2948</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dc:creator>
  <cp:lastModifiedBy>mrichard</cp:lastModifiedBy>
  <cp:revision>2</cp:revision>
  <dcterms:created xsi:type="dcterms:W3CDTF">2017-10-02T13:52:00Z</dcterms:created>
  <dcterms:modified xsi:type="dcterms:W3CDTF">2017-10-02T13:52:00Z</dcterms:modified>
</cp:coreProperties>
</file>