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Style w:val="Grilledutableau"/>
        <w:tblpPr w:leftFromText="141" w:rightFromText="141" w:vertAnchor="text" w:horzAnchor="margin" w:tblpY="-2"/>
        <w:tblW w:w="0" w:type="auto"/>
        <w:tblLook w:val="04A0" w:firstRow="1" w:lastRow="0" w:firstColumn="1" w:lastColumn="0" w:noHBand="0" w:noVBand="1"/>
      </w:tblPr>
      <w:tblGrid>
        <w:gridCol w:w="2108"/>
        <w:gridCol w:w="3893"/>
        <w:gridCol w:w="1038"/>
        <w:gridCol w:w="7931"/>
      </w:tblGrid>
      <w:tr w:rsidR="00A653D4" w:rsidTr="00A653D4">
        <w:trPr>
          <w:trHeight w:val="525"/>
        </w:trPr>
        <w:tc>
          <w:tcPr>
            <w:tcW w:w="14970" w:type="dxa"/>
            <w:gridSpan w:val="4"/>
            <w:vAlign w:val="center"/>
          </w:tcPr>
          <w:p w:rsidR="00A653D4" w:rsidRDefault="00A653D4" w:rsidP="00A653D4">
            <w:pPr>
              <w:pStyle w:val="Corpsdetexte"/>
              <w:spacing w:line="256" w:lineRule="auto"/>
              <w:ind w:right="242"/>
              <w:jc w:val="center"/>
            </w:pPr>
            <w:r>
              <w:t xml:space="preserve">SYNTHESE DES PROCESSUS </w:t>
            </w:r>
            <w:r>
              <w:t>D</w:t>
            </w:r>
            <w:r>
              <w:t>E RE</w:t>
            </w:r>
            <w:r>
              <w:t>ORIENTATION</w:t>
            </w:r>
          </w:p>
        </w:tc>
      </w:tr>
      <w:tr w:rsidR="00A653D4" w:rsidTr="00A653D4">
        <w:tc>
          <w:tcPr>
            <w:tcW w:w="2108" w:type="dxa"/>
          </w:tcPr>
          <w:p w:rsidR="00A653D4" w:rsidRPr="0002221D" w:rsidRDefault="00A653D4" w:rsidP="00A653D4">
            <w:pPr>
              <w:pStyle w:val="Corpsdetexte"/>
              <w:spacing w:line="256" w:lineRule="auto"/>
              <w:ind w:right="242"/>
              <w:rPr>
                <w:rFonts w:asciiTheme="minorHAnsi" w:hAnsiTheme="minorHAnsi" w:cstheme="minorHAnsi"/>
                <w:b/>
                <w:sz w:val="18"/>
                <w:szCs w:val="18"/>
              </w:rPr>
            </w:pPr>
            <w:r w:rsidRPr="0002221D">
              <w:rPr>
                <w:rFonts w:asciiTheme="minorHAnsi" w:hAnsiTheme="minorHAnsi" w:cstheme="minorHAnsi"/>
                <w:b/>
                <w:sz w:val="18"/>
                <w:szCs w:val="18"/>
              </w:rPr>
              <w:t>Etape du parcours d’accompagnement</w:t>
            </w:r>
          </w:p>
        </w:tc>
        <w:tc>
          <w:tcPr>
            <w:tcW w:w="3893" w:type="dxa"/>
            <w:vAlign w:val="center"/>
          </w:tcPr>
          <w:p w:rsidR="00A653D4" w:rsidRPr="0077036F" w:rsidRDefault="00A653D4" w:rsidP="00A653D4">
            <w:pPr>
              <w:pStyle w:val="Corpsdetexte"/>
              <w:spacing w:line="256" w:lineRule="auto"/>
              <w:ind w:right="242"/>
              <w:jc w:val="both"/>
              <w:rPr>
                <w:rFonts w:asciiTheme="minorHAnsi" w:hAnsiTheme="minorHAnsi" w:cstheme="minorHAnsi"/>
                <w:sz w:val="18"/>
                <w:szCs w:val="18"/>
              </w:rPr>
            </w:pPr>
            <w:r>
              <w:rPr>
                <w:rFonts w:asciiTheme="minorHAnsi" w:hAnsiTheme="minorHAnsi" w:cstheme="minorHAnsi"/>
                <w:sz w:val="18"/>
                <w:szCs w:val="18"/>
              </w:rPr>
              <w:t>Juste après l’orientation par l’algorithme</w:t>
            </w:r>
          </w:p>
        </w:tc>
        <w:tc>
          <w:tcPr>
            <w:tcW w:w="8969" w:type="dxa"/>
            <w:gridSpan w:val="2"/>
            <w:vAlign w:val="center"/>
          </w:tcPr>
          <w:p w:rsidR="00A653D4" w:rsidRPr="0077036F" w:rsidRDefault="00A653D4" w:rsidP="00A653D4">
            <w:pPr>
              <w:pStyle w:val="Corpsdetexte"/>
              <w:spacing w:line="256" w:lineRule="auto"/>
              <w:ind w:right="242"/>
              <w:jc w:val="center"/>
              <w:rPr>
                <w:rFonts w:asciiTheme="minorHAnsi" w:hAnsiTheme="minorHAnsi" w:cstheme="minorHAnsi"/>
                <w:sz w:val="18"/>
                <w:szCs w:val="18"/>
              </w:rPr>
            </w:pPr>
            <w:r>
              <w:rPr>
                <w:rFonts w:asciiTheme="minorHAnsi" w:hAnsiTheme="minorHAnsi" w:cstheme="minorHAnsi"/>
                <w:sz w:val="18"/>
                <w:szCs w:val="18"/>
              </w:rPr>
              <w:t>En cours ou en fin de parcours</w:t>
            </w:r>
          </w:p>
        </w:tc>
      </w:tr>
      <w:tr w:rsidR="00A653D4" w:rsidTr="00A653D4">
        <w:trPr>
          <w:trHeight w:val="714"/>
        </w:trPr>
        <w:tc>
          <w:tcPr>
            <w:tcW w:w="2108" w:type="dxa"/>
          </w:tcPr>
          <w:p w:rsidR="00A653D4" w:rsidRPr="0002221D" w:rsidRDefault="00A653D4" w:rsidP="00A653D4">
            <w:pPr>
              <w:pStyle w:val="Corpsdetexte"/>
              <w:spacing w:line="256" w:lineRule="auto"/>
              <w:ind w:right="242"/>
              <w:jc w:val="both"/>
              <w:rPr>
                <w:rFonts w:asciiTheme="minorHAnsi" w:hAnsiTheme="minorHAnsi" w:cstheme="minorHAnsi"/>
                <w:b/>
                <w:sz w:val="18"/>
                <w:szCs w:val="18"/>
              </w:rPr>
            </w:pPr>
            <w:r w:rsidRPr="0002221D">
              <w:rPr>
                <w:rFonts w:asciiTheme="minorHAnsi" w:hAnsiTheme="minorHAnsi" w:cstheme="minorHAnsi"/>
                <w:b/>
                <w:sz w:val="18"/>
                <w:szCs w:val="18"/>
              </w:rPr>
              <w:t>Public cible</w:t>
            </w:r>
          </w:p>
        </w:tc>
        <w:tc>
          <w:tcPr>
            <w:tcW w:w="3893" w:type="dxa"/>
          </w:tcPr>
          <w:p w:rsidR="00A653D4" w:rsidRDefault="00A653D4" w:rsidP="00A653D4">
            <w:pPr>
              <w:pStyle w:val="Corpsdetexte"/>
              <w:spacing w:line="256" w:lineRule="auto"/>
              <w:ind w:right="242"/>
              <w:jc w:val="both"/>
              <w:rPr>
                <w:rFonts w:asciiTheme="minorHAnsi" w:hAnsiTheme="minorHAnsi" w:cstheme="minorHAnsi"/>
                <w:sz w:val="18"/>
                <w:szCs w:val="18"/>
              </w:rPr>
            </w:pPr>
            <w:r>
              <w:rPr>
                <w:rFonts w:asciiTheme="minorHAnsi" w:hAnsiTheme="minorHAnsi" w:cstheme="minorHAnsi"/>
                <w:sz w:val="18"/>
                <w:szCs w:val="18"/>
              </w:rPr>
              <w:t xml:space="preserve">1) Allocataires orientés pour diagnostic auprès des ALI (tagués « Entretien </w:t>
            </w:r>
            <w:proofErr w:type="spellStart"/>
            <w:r>
              <w:rPr>
                <w:rFonts w:asciiTheme="minorHAnsi" w:hAnsiTheme="minorHAnsi" w:cstheme="minorHAnsi"/>
                <w:sz w:val="18"/>
                <w:szCs w:val="18"/>
              </w:rPr>
              <w:t>diag</w:t>
            </w:r>
            <w:proofErr w:type="spellEnd"/>
            <w:r>
              <w:rPr>
                <w:rFonts w:asciiTheme="minorHAnsi" w:hAnsiTheme="minorHAnsi" w:cstheme="minorHAnsi"/>
                <w:sz w:val="18"/>
                <w:szCs w:val="18"/>
              </w:rPr>
              <w:t xml:space="preserve"> » sur </w:t>
            </w:r>
            <w:proofErr w:type="spellStart"/>
            <w:r>
              <w:rPr>
                <w:rFonts w:asciiTheme="minorHAnsi" w:hAnsiTheme="minorHAnsi" w:cstheme="minorHAnsi"/>
                <w:sz w:val="18"/>
                <w:szCs w:val="18"/>
              </w:rPr>
              <w:t>webRSA</w:t>
            </w:r>
            <w:proofErr w:type="spellEnd"/>
            <w:r>
              <w:rPr>
                <w:rFonts w:asciiTheme="minorHAnsi" w:hAnsiTheme="minorHAnsi" w:cstheme="minorHAnsi"/>
                <w:sz w:val="18"/>
                <w:szCs w:val="18"/>
              </w:rPr>
              <w:t>)</w:t>
            </w:r>
          </w:p>
          <w:p w:rsidR="00A653D4" w:rsidRDefault="00A653D4" w:rsidP="00A653D4">
            <w:pPr>
              <w:pStyle w:val="Corpsdetexte"/>
              <w:spacing w:line="256" w:lineRule="auto"/>
              <w:ind w:right="242"/>
              <w:jc w:val="both"/>
              <w:rPr>
                <w:rFonts w:asciiTheme="minorHAnsi" w:hAnsiTheme="minorHAnsi" w:cstheme="minorHAnsi"/>
                <w:sz w:val="18"/>
                <w:szCs w:val="18"/>
              </w:rPr>
            </w:pPr>
            <w:r>
              <w:rPr>
                <w:rFonts w:asciiTheme="minorHAnsi" w:hAnsiTheme="minorHAnsi" w:cstheme="minorHAnsi"/>
                <w:sz w:val="18"/>
                <w:szCs w:val="18"/>
              </w:rPr>
              <w:t>2) Tout allocataire orienté initialement vers Pôle Emploi ou le Service social</w:t>
            </w:r>
          </w:p>
          <w:p w:rsidR="00A653D4" w:rsidRPr="0077036F" w:rsidRDefault="00A653D4" w:rsidP="00A653D4">
            <w:pPr>
              <w:pStyle w:val="Corpsdetexte"/>
              <w:spacing w:line="256" w:lineRule="auto"/>
              <w:ind w:right="242"/>
              <w:jc w:val="both"/>
              <w:rPr>
                <w:rFonts w:asciiTheme="minorHAnsi" w:hAnsiTheme="minorHAnsi" w:cstheme="minorHAnsi"/>
                <w:sz w:val="18"/>
                <w:szCs w:val="18"/>
              </w:rPr>
            </w:pPr>
          </w:p>
        </w:tc>
        <w:tc>
          <w:tcPr>
            <w:tcW w:w="8969" w:type="dxa"/>
            <w:gridSpan w:val="2"/>
            <w:vAlign w:val="center"/>
          </w:tcPr>
          <w:p w:rsidR="00A653D4" w:rsidRPr="0077036F" w:rsidRDefault="00A653D4" w:rsidP="00A653D4">
            <w:pPr>
              <w:pStyle w:val="Corpsdetexte"/>
              <w:spacing w:line="256" w:lineRule="auto"/>
              <w:ind w:right="242"/>
              <w:jc w:val="center"/>
              <w:rPr>
                <w:rFonts w:asciiTheme="minorHAnsi" w:hAnsiTheme="minorHAnsi" w:cstheme="minorHAnsi"/>
                <w:sz w:val="18"/>
                <w:szCs w:val="18"/>
              </w:rPr>
            </w:pPr>
            <w:r>
              <w:rPr>
                <w:rFonts w:asciiTheme="minorHAnsi" w:hAnsiTheme="minorHAnsi" w:cstheme="minorHAnsi"/>
                <w:sz w:val="18"/>
                <w:szCs w:val="18"/>
              </w:rPr>
              <w:t>Allocatai</w:t>
            </w:r>
            <w:r w:rsidRPr="0077036F">
              <w:rPr>
                <w:rFonts w:asciiTheme="minorHAnsi" w:hAnsiTheme="minorHAnsi" w:cstheme="minorHAnsi"/>
                <w:sz w:val="18"/>
                <w:szCs w:val="18"/>
              </w:rPr>
              <w:t>res dont le dispositif d’accompagnement ne convient plus</w:t>
            </w:r>
          </w:p>
        </w:tc>
      </w:tr>
      <w:tr w:rsidR="00A653D4" w:rsidTr="00A653D4">
        <w:trPr>
          <w:trHeight w:val="547"/>
        </w:trPr>
        <w:tc>
          <w:tcPr>
            <w:tcW w:w="2108" w:type="dxa"/>
          </w:tcPr>
          <w:p w:rsidR="00A653D4" w:rsidRPr="0002221D" w:rsidRDefault="00A653D4" w:rsidP="00A653D4">
            <w:pPr>
              <w:pStyle w:val="Corpsdetexte"/>
              <w:spacing w:line="256" w:lineRule="auto"/>
              <w:ind w:right="242"/>
              <w:rPr>
                <w:rFonts w:asciiTheme="minorHAnsi" w:hAnsiTheme="minorHAnsi" w:cstheme="minorHAnsi"/>
                <w:b/>
                <w:sz w:val="18"/>
                <w:szCs w:val="18"/>
              </w:rPr>
            </w:pPr>
            <w:r w:rsidRPr="0002221D">
              <w:rPr>
                <w:rFonts w:asciiTheme="minorHAnsi" w:hAnsiTheme="minorHAnsi" w:cstheme="minorHAnsi"/>
                <w:b/>
                <w:sz w:val="18"/>
                <w:szCs w:val="18"/>
              </w:rPr>
              <w:t xml:space="preserve">Nature </w:t>
            </w:r>
            <w:proofErr w:type="gramStart"/>
            <w:r w:rsidRPr="0002221D">
              <w:rPr>
                <w:rFonts w:asciiTheme="minorHAnsi" w:hAnsiTheme="minorHAnsi" w:cstheme="minorHAnsi"/>
                <w:b/>
                <w:sz w:val="18"/>
                <w:szCs w:val="18"/>
              </w:rPr>
              <w:t xml:space="preserve">de </w:t>
            </w:r>
            <w:r>
              <w:rPr>
                <w:rFonts w:asciiTheme="minorHAnsi" w:hAnsiTheme="minorHAnsi" w:cstheme="minorHAnsi"/>
                <w:b/>
                <w:sz w:val="18"/>
                <w:szCs w:val="18"/>
              </w:rPr>
              <w:t xml:space="preserve"> l</w:t>
            </w:r>
            <w:r w:rsidRPr="0002221D">
              <w:rPr>
                <w:rFonts w:asciiTheme="minorHAnsi" w:hAnsiTheme="minorHAnsi" w:cstheme="minorHAnsi"/>
                <w:b/>
                <w:sz w:val="18"/>
                <w:szCs w:val="18"/>
              </w:rPr>
              <w:t>’orientation</w:t>
            </w:r>
            <w:proofErr w:type="gramEnd"/>
          </w:p>
        </w:tc>
        <w:tc>
          <w:tcPr>
            <w:tcW w:w="3893" w:type="dxa"/>
            <w:vAlign w:val="center"/>
          </w:tcPr>
          <w:p w:rsidR="00A653D4" w:rsidRPr="0002221D" w:rsidRDefault="00A653D4" w:rsidP="00A653D4">
            <w:pPr>
              <w:pStyle w:val="Corpsdetexte"/>
              <w:spacing w:line="256" w:lineRule="auto"/>
              <w:ind w:right="242"/>
              <w:rPr>
                <w:rFonts w:asciiTheme="minorHAnsi" w:hAnsiTheme="minorHAnsi" w:cstheme="minorHAnsi"/>
                <w:b/>
                <w:sz w:val="18"/>
                <w:szCs w:val="18"/>
              </w:rPr>
            </w:pPr>
            <w:r w:rsidRPr="0002221D">
              <w:rPr>
                <w:rFonts w:asciiTheme="minorHAnsi" w:hAnsiTheme="minorHAnsi" w:cstheme="minorHAnsi"/>
                <w:b/>
                <w:sz w:val="18"/>
                <w:szCs w:val="18"/>
              </w:rPr>
              <w:t>Correction d’orientation</w:t>
            </w:r>
            <w:r>
              <w:rPr>
                <w:rFonts w:asciiTheme="minorHAnsi" w:hAnsiTheme="minorHAnsi" w:cstheme="minorHAnsi"/>
                <w:b/>
                <w:sz w:val="18"/>
                <w:szCs w:val="18"/>
              </w:rPr>
              <w:t xml:space="preserve"> initiale</w:t>
            </w:r>
          </w:p>
        </w:tc>
        <w:tc>
          <w:tcPr>
            <w:tcW w:w="8969" w:type="dxa"/>
            <w:gridSpan w:val="2"/>
            <w:vAlign w:val="center"/>
          </w:tcPr>
          <w:p w:rsidR="00A653D4" w:rsidRPr="0002221D" w:rsidRDefault="00A653D4" w:rsidP="00A653D4">
            <w:pPr>
              <w:pStyle w:val="Corpsdetexte"/>
              <w:spacing w:line="256" w:lineRule="auto"/>
              <w:ind w:right="242"/>
              <w:jc w:val="center"/>
              <w:rPr>
                <w:rFonts w:asciiTheme="minorHAnsi" w:hAnsiTheme="minorHAnsi" w:cstheme="minorHAnsi"/>
                <w:b/>
                <w:sz w:val="18"/>
                <w:szCs w:val="18"/>
              </w:rPr>
            </w:pPr>
            <w:r w:rsidRPr="0002221D">
              <w:rPr>
                <w:rFonts w:asciiTheme="minorHAnsi" w:hAnsiTheme="minorHAnsi" w:cstheme="minorHAnsi"/>
                <w:b/>
                <w:sz w:val="18"/>
                <w:szCs w:val="18"/>
              </w:rPr>
              <w:t>Réorientation</w:t>
            </w:r>
          </w:p>
        </w:tc>
      </w:tr>
      <w:tr w:rsidR="00A653D4" w:rsidTr="00A653D4">
        <w:trPr>
          <w:cantSplit/>
          <w:trHeight w:val="1134"/>
        </w:trPr>
        <w:tc>
          <w:tcPr>
            <w:tcW w:w="2108" w:type="dxa"/>
            <w:vMerge w:val="restart"/>
            <w:vAlign w:val="center"/>
          </w:tcPr>
          <w:p w:rsidR="00A653D4" w:rsidRPr="0077036F" w:rsidRDefault="00A653D4" w:rsidP="00A653D4">
            <w:pPr>
              <w:pStyle w:val="Corpsdetexte"/>
              <w:spacing w:line="256" w:lineRule="auto"/>
              <w:ind w:right="242"/>
              <w:jc w:val="center"/>
              <w:rPr>
                <w:rFonts w:asciiTheme="minorHAnsi" w:hAnsiTheme="minorHAnsi" w:cstheme="minorHAnsi"/>
                <w:sz w:val="18"/>
                <w:szCs w:val="18"/>
              </w:rPr>
            </w:pPr>
          </w:p>
          <w:p w:rsidR="00A653D4" w:rsidRPr="0077036F" w:rsidRDefault="00A653D4" w:rsidP="00A653D4">
            <w:pPr>
              <w:pStyle w:val="Corpsdetexte"/>
              <w:spacing w:line="256" w:lineRule="auto"/>
              <w:ind w:right="242"/>
              <w:jc w:val="center"/>
              <w:rPr>
                <w:rFonts w:asciiTheme="minorHAnsi" w:hAnsiTheme="minorHAnsi" w:cstheme="minorHAnsi"/>
                <w:sz w:val="18"/>
                <w:szCs w:val="18"/>
              </w:rPr>
            </w:pPr>
          </w:p>
          <w:p w:rsidR="00A653D4" w:rsidRPr="0077036F" w:rsidRDefault="00A653D4" w:rsidP="00A653D4">
            <w:pPr>
              <w:pStyle w:val="Corpsdetexte"/>
              <w:spacing w:line="256" w:lineRule="auto"/>
              <w:ind w:right="242"/>
              <w:jc w:val="center"/>
              <w:rPr>
                <w:rFonts w:asciiTheme="minorHAnsi" w:hAnsiTheme="minorHAnsi" w:cstheme="minorHAnsi"/>
                <w:sz w:val="18"/>
                <w:szCs w:val="18"/>
              </w:rPr>
            </w:pPr>
          </w:p>
          <w:p w:rsidR="00A653D4" w:rsidRPr="0077036F" w:rsidRDefault="00A653D4" w:rsidP="00A653D4">
            <w:pPr>
              <w:pStyle w:val="Corpsdetexte"/>
              <w:spacing w:line="256" w:lineRule="auto"/>
              <w:ind w:right="242"/>
              <w:jc w:val="center"/>
              <w:rPr>
                <w:rFonts w:asciiTheme="minorHAnsi" w:hAnsiTheme="minorHAnsi" w:cstheme="minorHAnsi"/>
                <w:sz w:val="18"/>
                <w:szCs w:val="18"/>
              </w:rPr>
            </w:pPr>
          </w:p>
          <w:p w:rsidR="00A653D4" w:rsidRDefault="00A653D4" w:rsidP="00A653D4">
            <w:pPr>
              <w:pStyle w:val="Corpsdetexte"/>
              <w:spacing w:line="256" w:lineRule="auto"/>
              <w:ind w:right="242"/>
              <w:jc w:val="center"/>
              <w:rPr>
                <w:rFonts w:asciiTheme="minorHAnsi" w:hAnsiTheme="minorHAnsi" w:cstheme="minorHAnsi"/>
                <w:b/>
                <w:sz w:val="18"/>
                <w:szCs w:val="18"/>
              </w:rPr>
            </w:pPr>
            <w:r>
              <w:rPr>
                <w:rFonts w:asciiTheme="minorHAnsi" w:hAnsiTheme="minorHAnsi" w:cstheme="minorHAnsi"/>
                <w:b/>
                <w:sz w:val="18"/>
                <w:szCs w:val="18"/>
              </w:rPr>
              <w:t xml:space="preserve">PROCESSUS </w:t>
            </w:r>
          </w:p>
          <w:p w:rsidR="00A653D4" w:rsidRPr="0077036F" w:rsidRDefault="00A653D4" w:rsidP="00A653D4">
            <w:pPr>
              <w:pStyle w:val="Corpsdetexte"/>
              <w:spacing w:line="256" w:lineRule="auto"/>
              <w:ind w:right="242"/>
              <w:jc w:val="center"/>
              <w:rPr>
                <w:rFonts w:asciiTheme="minorHAnsi" w:hAnsiTheme="minorHAnsi" w:cstheme="minorHAnsi"/>
                <w:b/>
                <w:sz w:val="18"/>
                <w:szCs w:val="18"/>
              </w:rPr>
            </w:pPr>
            <w:r>
              <w:rPr>
                <w:rFonts w:asciiTheme="minorHAnsi" w:hAnsiTheme="minorHAnsi" w:cstheme="minorHAnsi"/>
                <w:b/>
                <w:sz w:val="18"/>
                <w:szCs w:val="18"/>
              </w:rPr>
              <w:t>DE LA</w:t>
            </w:r>
            <w:r w:rsidRPr="0077036F">
              <w:rPr>
                <w:rFonts w:asciiTheme="minorHAnsi" w:hAnsiTheme="minorHAnsi" w:cstheme="minorHAnsi"/>
                <w:b/>
                <w:sz w:val="18"/>
                <w:szCs w:val="18"/>
              </w:rPr>
              <w:t xml:space="preserve"> REORIENTATION</w:t>
            </w:r>
          </w:p>
        </w:tc>
        <w:tc>
          <w:tcPr>
            <w:tcW w:w="3893" w:type="dxa"/>
            <w:vMerge w:val="restart"/>
            <w:vAlign w:val="center"/>
          </w:tcPr>
          <w:p w:rsidR="00A653D4" w:rsidRDefault="00A653D4" w:rsidP="00A653D4">
            <w:pPr>
              <w:pStyle w:val="Corpsdetexte"/>
              <w:numPr>
                <w:ilvl w:val="0"/>
                <w:numId w:val="11"/>
              </w:numPr>
              <w:spacing w:line="256" w:lineRule="auto"/>
              <w:ind w:left="232" w:hanging="295"/>
              <w:jc w:val="both"/>
              <w:rPr>
                <w:rFonts w:asciiTheme="minorHAnsi" w:hAnsiTheme="minorHAnsi" w:cstheme="minorHAnsi"/>
                <w:sz w:val="18"/>
                <w:szCs w:val="18"/>
              </w:rPr>
            </w:pPr>
            <w:r>
              <w:rPr>
                <w:rFonts w:asciiTheme="minorHAnsi" w:hAnsiTheme="minorHAnsi" w:cstheme="minorHAnsi"/>
                <w:sz w:val="18"/>
                <w:szCs w:val="18"/>
              </w:rPr>
              <w:t xml:space="preserve">Chaque mois, les ALI identifient sur </w:t>
            </w:r>
            <w:proofErr w:type="spellStart"/>
            <w:r>
              <w:rPr>
                <w:rFonts w:asciiTheme="minorHAnsi" w:hAnsiTheme="minorHAnsi" w:cstheme="minorHAnsi"/>
                <w:sz w:val="18"/>
                <w:szCs w:val="18"/>
              </w:rPr>
              <w:t>webRSA</w:t>
            </w:r>
            <w:proofErr w:type="spellEnd"/>
            <w:r>
              <w:rPr>
                <w:rFonts w:asciiTheme="minorHAnsi" w:hAnsiTheme="minorHAnsi" w:cstheme="minorHAnsi"/>
                <w:sz w:val="18"/>
                <w:szCs w:val="18"/>
              </w:rPr>
              <w:t xml:space="preserve"> les allocataires qui sont envoyés vers elles pour diagnostic, procèdent au diagnostic, puis valident l’orientation sur </w:t>
            </w:r>
            <w:proofErr w:type="spellStart"/>
            <w:r>
              <w:rPr>
                <w:rFonts w:asciiTheme="minorHAnsi" w:hAnsiTheme="minorHAnsi" w:cstheme="minorHAnsi"/>
                <w:sz w:val="18"/>
                <w:szCs w:val="18"/>
              </w:rPr>
              <w:t>webRSA</w:t>
            </w:r>
            <w:proofErr w:type="spellEnd"/>
            <w:r>
              <w:rPr>
                <w:rFonts w:asciiTheme="minorHAnsi" w:hAnsiTheme="minorHAnsi" w:cstheme="minorHAnsi"/>
                <w:sz w:val="18"/>
                <w:szCs w:val="18"/>
              </w:rPr>
              <w:t xml:space="preserve"> sans passage en ICLI</w:t>
            </w:r>
            <w:r w:rsidRPr="003C26CD">
              <w:rPr>
                <w:rFonts w:asciiTheme="minorHAnsi" w:hAnsiTheme="minorHAnsi" w:cstheme="minorHAnsi"/>
                <w:sz w:val="18"/>
                <w:szCs w:val="18"/>
              </w:rPr>
              <w:t>.</w:t>
            </w:r>
            <w:r>
              <w:rPr>
                <w:rFonts w:asciiTheme="minorHAnsi" w:hAnsiTheme="minorHAnsi" w:cstheme="minorHAnsi"/>
                <w:sz w:val="18"/>
                <w:szCs w:val="18"/>
              </w:rPr>
              <w:t xml:space="preserve"> Les allocataires apparaîtront le mois suivant dans la liste d’orientations du service référent choisi.</w:t>
            </w:r>
          </w:p>
          <w:p w:rsidR="00A653D4" w:rsidRDefault="00A653D4" w:rsidP="00A653D4">
            <w:pPr>
              <w:pStyle w:val="Corpsdetexte"/>
              <w:spacing w:line="256" w:lineRule="auto"/>
              <w:ind w:left="232"/>
              <w:jc w:val="both"/>
              <w:rPr>
                <w:rFonts w:asciiTheme="minorHAnsi" w:hAnsiTheme="minorHAnsi" w:cstheme="minorHAnsi"/>
                <w:sz w:val="18"/>
                <w:szCs w:val="18"/>
              </w:rPr>
            </w:pPr>
          </w:p>
          <w:p w:rsidR="00A653D4" w:rsidRPr="003C26CD" w:rsidRDefault="00A653D4" w:rsidP="00A653D4">
            <w:pPr>
              <w:pStyle w:val="Corpsdetexte"/>
              <w:numPr>
                <w:ilvl w:val="0"/>
                <w:numId w:val="11"/>
              </w:numPr>
              <w:spacing w:line="256" w:lineRule="auto"/>
              <w:ind w:left="232" w:right="242" w:hanging="232"/>
              <w:rPr>
                <w:rFonts w:asciiTheme="minorHAnsi" w:hAnsiTheme="minorHAnsi" w:cstheme="minorHAnsi"/>
                <w:sz w:val="18"/>
                <w:szCs w:val="18"/>
              </w:rPr>
            </w:pPr>
            <w:r>
              <w:rPr>
                <w:rFonts w:asciiTheme="minorHAnsi" w:hAnsiTheme="minorHAnsi" w:cstheme="minorHAnsi"/>
                <w:sz w:val="18"/>
                <w:szCs w:val="18"/>
              </w:rPr>
              <w:t>Pôle Emploi et le SSD peuvent aussi détecter des situations d’orientation inappropriées lors du 1</w:t>
            </w:r>
            <w:r w:rsidRPr="00A4029D">
              <w:rPr>
                <w:rFonts w:asciiTheme="minorHAnsi" w:hAnsiTheme="minorHAnsi" w:cstheme="minorHAnsi"/>
                <w:sz w:val="18"/>
                <w:szCs w:val="18"/>
                <w:vertAlign w:val="superscript"/>
              </w:rPr>
              <w:t>er</w:t>
            </w:r>
            <w:r>
              <w:rPr>
                <w:rFonts w:asciiTheme="minorHAnsi" w:hAnsiTheme="minorHAnsi" w:cstheme="minorHAnsi"/>
                <w:sz w:val="18"/>
                <w:szCs w:val="18"/>
              </w:rPr>
              <w:t xml:space="preserve"> rdv, et les signaler au Département (envoi du formulaire à </w:t>
            </w:r>
            <w:hyperlink r:id="rId8" w:history="1">
              <w:r w:rsidRPr="00FD3D2C">
                <w:rPr>
                  <w:rStyle w:val="Lienhypertexte"/>
                  <w:rFonts w:asciiTheme="minorHAnsi" w:hAnsiTheme="minorHAnsi" w:cstheme="minorHAnsi"/>
                  <w:sz w:val="18"/>
                  <w:szCs w:val="18"/>
                </w:rPr>
                <w:t>bop@seinesaintdenis.fr</w:t>
              </w:r>
            </w:hyperlink>
            <w:r>
              <w:rPr>
                <w:rFonts w:asciiTheme="minorHAnsi" w:hAnsiTheme="minorHAnsi" w:cstheme="minorHAnsi"/>
                <w:sz w:val="18"/>
                <w:szCs w:val="18"/>
              </w:rPr>
              <w:t xml:space="preserve">) sans passage en ICLI. Les allocataires apparaîtront le mois suivant dans la liste d’orientations du service référent choisi. </w:t>
            </w:r>
          </w:p>
        </w:tc>
        <w:tc>
          <w:tcPr>
            <w:tcW w:w="1038" w:type="dxa"/>
            <w:vAlign w:val="center"/>
          </w:tcPr>
          <w:p w:rsidR="00A653D4" w:rsidRPr="0077036F" w:rsidRDefault="00A653D4" w:rsidP="00A653D4">
            <w:pPr>
              <w:pStyle w:val="Corpsdetexte"/>
              <w:spacing w:line="256" w:lineRule="auto"/>
              <w:ind w:right="242"/>
              <w:rPr>
                <w:rFonts w:asciiTheme="minorHAnsi" w:hAnsiTheme="minorHAnsi" w:cstheme="minorHAnsi"/>
                <w:i/>
                <w:sz w:val="18"/>
                <w:szCs w:val="18"/>
                <w:u w:val="single"/>
              </w:rPr>
            </w:pPr>
            <w:proofErr w:type="spellStart"/>
            <w:proofErr w:type="gramStart"/>
            <w:r>
              <w:rPr>
                <w:rFonts w:asciiTheme="minorHAnsi" w:hAnsiTheme="minorHAnsi" w:cstheme="minorHAnsi"/>
                <w:i/>
                <w:sz w:val="18"/>
                <w:szCs w:val="18"/>
                <w:u w:val="single"/>
              </w:rPr>
              <w:t>A.</w:t>
            </w:r>
            <w:r w:rsidRPr="0077036F">
              <w:rPr>
                <w:rFonts w:asciiTheme="minorHAnsi" w:hAnsiTheme="minorHAnsi" w:cstheme="minorHAnsi"/>
                <w:i/>
                <w:sz w:val="18"/>
                <w:szCs w:val="18"/>
                <w:u w:val="single"/>
              </w:rPr>
              <w:t>Avant</w:t>
            </w:r>
            <w:proofErr w:type="spellEnd"/>
            <w:proofErr w:type="gramEnd"/>
            <w:r w:rsidRPr="0077036F">
              <w:rPr>
                <w:rFonts w:asciiTheme="minorHAnsi" w:hAnsiTheme="minorHAnsi" w:cstheme="minorHAnsi"/>
                <w:i/>
                <w:sz w:val="18"/>
                <w:szCs w:val="18"/>
                <w:u w:val="single"/>
              </w:rPr>
              <w:t xml:space="preserve"> l’ICLI</w:t>
            </w:r>
          </w:p>
          <w:p w:rsidR="00A653D4" w:rsidRPr="0077036F" w:rsidRDefault="00A653D4" w:rsidP="00A653D4">
            <w:pPr>
              <w:pStyle w:val="Corpsdetexte"/>
              <w:spacing w:line="256" w:lineRule="auto"/>
              <w:ind w:right="242"/>
              <w:rPr>
                <w:rFonts w:asciiTheme="minorHAnsi" w:hAnsiTheme="minorHAnsi" w:cstheme="minorHAnsi"/>
                <w:i/>
                <w:sz w:val="18"/>
                <w:szCs w:val="18"/>
                <w:u w:val="single"/>
              </w:rPr>
            </w:pPr>
          </w:p>
        </w:tc>
        <w:tc>
          <w:tcPr>
            <w:tcW w:w="7931" w:type="dxa"/>
          </w:tcPr>
          <w:p w:rsidR="00A653D4" w:rsidRDefault="00A653D4" w:rsidP="00A653D4">
            <w:pPr>
              <w:pStyle w:val="Corpsdetexte"/>
              <w:spacing w:line="256" w:lineRule="auto"/>
              <w:ind w:right="242"/>
              <w:jc w:val="both"/>
              <w:rPr>
                <w:rFonts w:asciiTheme="minorHAnsi" w:hAnsiTheme="minorHAnsi" w:cstheme="minorHAnsi"/>
                <w:sz w:val="18"/>
                <w:szCs w:val="18"/>
              </w:rPr>
            </w:pPr>
            <w:r w:rsidRPr="00701181">
              <w:rPr>
                <w:rFonts w:asciiTheme="minorHAnsi" w:hAnsiTheme="minorHAnsi" w:cstheme="minorHAnsi"/>
                <w:sz w:val="18"/>
                <w:szCs w:val="18"/>
              </w:rPr>
              <w:t xml:space="preserve">A.1. </w:t>
            </w:r>
            <w:r>
              <w:rPr>
                <w:rFonts w:asciiTheme="minorHAnsi" w:hAnsiTheme="minorHAnsi" w:cstheme="minorHAnsi"/>
                <w:sz w:val="18"/>
                <w:szCs w:val="18"/>
              </w:rPr>
              <w:t>Après consultation de l’allocataire</w:t>
            </w:r>
            <w:r w:rsidRPr="00701181">
              <w:rPr>
                <w:rFonts w:asciiTheme="minorHAnsi" w:hAnsiTheme="minorHAnsi" w:cstheme="minorHAnsi"/>
                <w:sz w:val="18"/>
                <w:szCs w:val="18"/>
              </w:rPr>
              <w:t xml:space="preserve">, le service </w:t>
            </w:r>
            <w:r>
              <w:rPr>
                <w:rFonts w:asciiTheme="minorHAnsi" w:hAnsiTheme="minorHAnsi" w:cstheme="minorHAnsi"/>
                <w:sz w:val="18"/>
                <w:szCs w:val="18"/>
              </w:rPr>
              <w:t>r</w:t>
            </w:r>
            <w:r w:rsidRPr="00701181">
              <w:rPr>
                <w:rFonts w:asciiTheme="minorHAnsi" w:hAnsiTheme="minorHAnsi" w:cstheme="minorHAnsi"/>
                <w:sz w:val="18"/>
                <w:szCs w:val="18"/>
              </w:rPr>
              <w:t>éférent initial</w:t>
            </w:r>
            <w:r>
              <w:rPr>
                <w:rFonts w:asciiTheme="minorHAnsi" w:hAnsiTheme="minorHAnsi" w:cstheme="minorHAnsi"/>
                <w:sz w:val="18"/>
                <w:szCs w:val="18"/>
              </w:rPr>
              <w:t xml:space="preserve"> pré-saisit le formulaire de saisine du Département, en précisant si l’allocataire a donné ou non son accord.</w:t>
            </w:r>
          </w:p>
          <w:p w:rsidR="00A653D4" w:rsidRPr="00701181" w:rsidRDefault="00A653D4" w:rsidP="00A653D4">
            <w:pPr>
              <w:pStyle w:val="Corpsdetexte"/>
              <w:spacing w:line="256" w:lineRule="auto"/>
              <w:ind w:right="242"/>
              <w:jc w:val="both"/>
              <w:rPr>
                <w:rFonts w:asciiTheme="minorHAnsi" w:hAnsiTheme="minorHAnsi" w:cstheme="minorHAnsi"/>
                <w:sz w:val="18"/>
                <w:szCs w:val="18"/>
              </w:rPr>
            </w:pPr>
            <w:r w:rsidRPr="00701181">
              <w:rPr>
                <w:rFonts w:asciiTheme="minorHAnsi" w:hAnsiTheme="minorHAnsi" w:cstheme="minorHAnsi"/>
                <w:sz w:val="18"/>
                <w:szCs w:val="18"/>
              </w:rPr>
              <w:t xml:space="preserve"> </w:t>
            </w:r>
          </w:p>
          <w:p w:rsidR="00A653D4" w:rsidRDefault="00A653D4" w:rsidP="00A653D4">
            <w:pPr>
              <w:pStyle w:val="Corpsdetexte"/>
              <w:spacing w:line="256" w:lineRule="auto"/>
              <w:ind w:right="242"/>
              <w:jc w:val="both"/>
              <w:rPr>
                <w:rFonts w:asciiTheme="minorHAnsi" w:hAnsiTheme="minorHAnsi" w:cstheme="minorHAnsi"/>
                <w:sz w:val="18"/>
                <w:szCs w:val="18"/>
              </w:rPr>
            </w:pPr>
            <w:r w:rsidRPr="00701181">
              <w:rPr>
                <w:rFonts w:asciiTheme="minorHAnsi" w:hAnsiTheme="minorHAnsi" w:cstheme="minorHAnsi"/>
                <w:sz w:val="18"/>
                <w:szCs w:val="18"/>
              </w:rPr>
              <w:t>A.2. Les services référents renseignent un tableau commun</w:t>
            </w:r>
            <w:r>
              <w:rPr>
                <w:rFonts w:asciiTheme="minorHAnsi" w:hAnsiTheme="minorHAnsi" w:cstheme="minorHAnsi"/>
                <w:sz w:val="18"/>
                <w:szCs w:val="18"/>
              </w:rPr>
              <w:t xml:space="preserve"> </w:t>
            </w:r>
            <w:r w:rsidRPr="00D513DD">
              <w:rPr>
                <w:rFonts w:asciiTheme="minorHAnsi" w:hAnsiTheme="minorHAnsi" w:cstheme="minorHAnsi"/>
                <w:i/>
                <w:sz w:val="18"/>
                <w:szCs w:val="18"/>
              </w:rPr>
              <w:t>(cf. annexe)</w:t>
            </w:r>
            <w:r w:rsidRPr="00701181">
              <w:rPr>
                <w:rFonts w:asciiTheme="minorHAnsi" w:hAnsiTheme="minorHAnsi" w:cstheme="minorHAnsi"/>
                <w:sz w:val="18"/>
                <w:szCs w:val="18"/>
              </w:rPr>
              <w:t xml:space="preserve"> de l’instance de concertation locale d’insertion et </w:t>
            </w:r>
            <w:proofErr w:type="spellStart"/>
            <w:r w:rsidRPr="00701181">
              <w:rPr>
                <w:rFonts w:asciiTheme="minorHAnsi" w:hAnsiTheme="minorHAnsi" w:cstheme="minorHAnsi"/>
                <w:sz w:val="18"/>
                <w:szCs w:val="18"/>
              </w:rPr>
              <w:t>se</w:t>
            </w:r>
            <w:proofErr w:type="spellEnd"/>
            <w:r w:rsidRPr="00701181">
              <w:rPr>
                <w:rFonts w:asciiTheme="minorHAnsi" w:hAnsiTheme="minorHAnsi" w:cstheme="minorHAnsi"/>
                <w:sz w:val="18"/>
                <w:szCs w:val="18"/>
              </w:rPr>
              <w:t xml:space="preserve"> l’adressent tour à tour par un envoi protégé (</w:t>
            </w:r>
            <w:proofErr w:type="spellStart"/>
            <w:r w:rsidRPr="00701181">
              <w:rPr>
                <w:rFonts w:asciiTheme="minorHAnsi" w:hAnsiTheme="minorHAnsi" w:cstheme="minorHAnsi"/>
                <w:sz w:val="18"/>
                <w:szCs w:val="18"/>
              </w:rPr>
              <w:t>Wetransfer</w:t>
            </w:r>
            <w:proofErr w:type="spellEnd"/>
            <w:r w:rsidRPr="00701181">
              <w:rPr>
                <w:rFonts w:asciiTheme="minorHAnsi" w:hAnsiTheme="minorHAnsi" w:cstheme="minorHAnsi"/>
                <w:sz w:val="18"/>
                <w:szCs w:val="18"/>
              </w:rPr>
              <w:t xml:space="preserve">, </w:t>
            </w:r>
            <w:proofErr w:type="spellStart"/>
            <w:r>
              <w:rPr>
                <w:rFonts w:asciiTheme="minorHAnsi" w:hAnsiTheme="minorHAnsi" w:cstheme="minorHAnsi"/>
                <w:sz w:val="18"/>
                <w:szCs w:val="18"/>
              </w:rPr>
              <w:t>T</w:t>
            </w:r>
            <w:r w:rsidRPr="00701181">
              <w:rPr>
                <w:rFonts w:asciiTheme="minorHAnsi" w:hAnsiTheme="minorHAnsi" w:cstheme="minorHAnsi"/>
                <w:sz w:val="18"/>
                <w:szCs w:val="18"/>
              </w:rPr>
              <w:t>ransfertpro</w:t>
            </w:r>
            <w:proofErr w:type="spellEnd"/>
            <w:r w:rsidRPr="00701181">
              <w:rPr>
                <w:rFonts w:asciiTheme="minorHAnsi" w:hAnsiTheme="minorHAnsi" w:cstheme="minorHAnsi"/>
                <w:sz w:val="18"/>
                <w:szCs w:val="18"/>
              </w:rPr>
              <w:t xml:space="preserve">, </w:t>
            </w:r>
            <w:proofErr w:type="spellStart"/>
            <w:r w:rsidRPr="00701181">
              <w:rPr>
                <w:rFonts w:asciiTheme="minorHAnsi" w:hAnsiTheme="minorHAnsi" w:cstheme="minorHAnsi"/>
                <w:sz w:val="18"/>
                <w:szCs w:val="18"/>
              </w:rPr>
              <w:t>etc</w:t>
            </w:r>
            <w:proofErr w:type="spellEnd"/>
            <w:r w:rsidRPr="00701181">
              <w:rPr>
                <w:rFonts w:asciiTheme="minorHAnsi" w:hAnsiTheme="minorHAnsi" w:cstheme="minorHAnsi"/>
                <w:sz w:val="18"/>
                <w:szCs w:val="18"/>
              </w:rPr>
              <w:t>)</w:t>
            </w:r>
            <w:r>
              <w:rPr>
                <w:rFonts w:asciiTheme="minorHAnsi" w:hAnsiTheme="minorHAnsi" w:cstheme="minorHAnsi"/>
                <w:sz w:val="18"/>
                <w:szCs w:val="18"/>
              </w:rPr>
              <w:t xml:space="preserve">. Ils peuvent également y adjoindre les formulaires de saisine </w:t>
            </w:r>
            <w:proofErr w:type="spellStart"/>
            <w:r>
              <w:rPr>
                <w:rFonts w:asciiTheme="minorHAnsi" w:hAnsiTheme="minorHAnsi" w:cstheme="minorHAnsi"/>
                <w:sz w:val="18"/>
                <w:szCs w:val="18"/>
              </w:rPr>
              <w:t>pré-remplis</w:t>
            </w:r>
            <w:proofErr w:type="spellEnd"/>
            <w:r>
              <w:rPr>
                <w:rFonts w:asciiTheme="minorHAnsi" w:hAnsiTheme="minorHAnsi" w:cstheme="minorHAnsi"/>
                <w:sz w:val="18"/>
                <w:szCs w:val="18"/>
              </w:rPr>
              <w:t xml:space="preserve">. </w:t>
            </w:r>
          </w:p>
          <w:p w:rsidR="00A653D4" w:rsidRPr="00701181" w:rsidRDefault="00A653D4" w:rsidP="00A653D4">
            <w:pPr>
              <w:pStyle w:val="Corpsdetexte"/>
              <w:spacing w:line="256" w:lineRule="auto"/>
              <w:ind w:right="242"/>
              <w:jc w:val="both"/>
              <w:rPr>
                <w:rFonts w:asciiTheme="minorHAnsi" w:hAnsiTheme="minorHAnsi" w:cstheme="minorHAnsi"/>
                <w:sz w:val="18"/>
                <w:szCs w:val="18"/>
              </w:rPr>
            </w:pPr>
            <w:r>
              <w:rPr>
                <w:rFonts w:asciiTheme="minorHAnsi" w:hAnsiTheme="minorHAnsi" w:cstheme="minorHAnsi"/>
                <w:sz w:val="18"/>
                <w:szCs w:val="18"/>
              </w:rPr>
              <w:t xml:space="preserve">NB : il est également possible d’inclure des situations qui ne font pas l’objet d’une demande de réorientation, mais dont la situation nécessite de faire l’objet d’une discussion collégiale en ICLI (à des fins de soutien technique entre pairs) </w:t>
            </w:r>
          </w:p>
          <w:p w:rsidR="00A653D4" w:rsidRPr="00701181" w:rsidRDefault="00A653D4" w:rsidP="00A653D4">
            <w:pPr>
              <w:pStyle w:val="Corpsdetexte"/>
              <w:spacing w:line="256" w:lineRule="auto"/>
              <w:ind w:right="242"/>
              <w:jc w:val="both"/>
              <w:rPr>
                <w:rFonts w:asciiTheme="minorHAnsi" w:hAnsiTheme="minorHAnsi" w:cstheme="minorHAnsi"/>
                <w:sz w:val="18"/>
                <w:szCs w:val="18"/>
              </w:rPr>
            </w:pPr>
          </w:p>
          <w:p w:rsidR="00A653D4" w:rsidRPr="00701181" w:rsidRDefault="00A653D4" w:rsidP="00A653D4">
            <w:pPr>
              <w:pStyle w:val="Corpsdetexte"/>
              <w:spacing w:line="256" w:lineRule="auto"/>
              <w:ind w:right="242"/>
              <w:jc w:val="both"/>
              <w:rPr>
                <w:rFonts w:asciiTheme="minorHAnsi" w:hAnsiTheme="minorHAnsi" w:cstheme="minorHAnsi"/>
                <w:sz w:val="18"/>
                <w:szCs w:val="18"/>
              </w:rPr>
            </w:pPr>
            <w:r w:rsidRPr="00701181">
              <w:rPr>
                <w:rFonts w:asciiTheme="minorHAnsi" w:hAnsiTheme="minorHAnsi" w:cstheme="minorHAnsi"/>
                <w:sz w:val="18"/>
                <w:szCs w:val="18"/>
              </w:rPr>
              <w:t>A.3. Les services référents prennent connaissance des situations, vérifient que les allocataires sont connus/suivis au sein de leur service</w:t>
            </w:r>
            <w:r>
              <w:rPr>
                <w:rFonts w:asciiTheme="minorHAnsi" w:hAnsiTheme="minorHAnsi" w:cstheme="minorHAnsi"/>
                <w:sz w:val="18"/>
                <w:szCs w:val="18"/>
              </w:rPr>
              <w:t>, et complètent le tableau commun en conséquence.</w:t>
            </w:r>
          </w:p>
          <w:p w:rsidR="00A653D4" w:rsidRPr="00701181" w:rsidRDefault="00A653D4" w:rsidP="00A653D4">
            <w:pPr>
              <w:pStyle w:val="Corpsdetexte"/>
              <w:spacing w:line="256" w:lineRule="auto"/>
              <w:ind w:right="242"/>
              <w:jc w:val="both"/>
              <w:rPr>
                <w:rFonts w:asciiTheme="minorHAnsi" w:hAnsiTheme="minorHAnsi" w:cstheme="minorHAnsi"/>
                <w:sz w:val="18"/>
                <w:szCs w:val="18"/>
              </w:rPr>
            </w:pPr>
          </w:p>
          <w:p w:rsidR="00A653D4" w:rsidRPr="00701181" w:rsidRDefault="00A653D4" w:rsidP="00A653D4">
            <w:pPr>
              <w:pStyle w:val="Corpsdetexte"/>
              <w:spacing w:line="256" w:lineRule="auto"/>
              <w:ind w:right="242"/>
              <w:jc w:val="both"/>
              <w:rPr>
                <w:rFonts w:asciiTheme="minorHAnsi" w:hAnsiTheme="minorHAnsi" w:cstheme="minorHAnsi"/>
                <w:sz w:val="18"/>
                <w:szCs w:val="18"/>
              </w:rPr>
            </w:pPr>
            <w:r w:rsidRPr="00701181">
              <w:rPr>
                <w:rFonts w:asciiTheme="minorHAnsi" w:hAnsiTheme="minorHAnsi" w:cstheme="minorHAnsi"/>
                <w:sz w:val="18"/>
                <w:szCs w:val="18"/>
              </w:rPr>
              <w:t xml:space="preserve"> A.4. Les services référents envoient le tableau </w:t>
            </w:r>
            <w:r>
              <w:rPr>
                <w:rFonts w:asciiTheme="minorHAnsi" w:hAnsiTheme="minorHAnsi" w:cstheme="minorHAnsi"/>
                <w:sz w:val="18"/>
                <w:szCs w:val="18"/>
              </w:rPr>
              <w:t>au</w:t>
            </w:r>
            <w:r w:rsidRPr="00701181">
              <w:rPr>
                <w:rFonts w:asciiTheme="minorHAnsi" w:hAnsiTheme="minorHAnsi" w:cstheme="minorHAnsi"/>
                <w:sz w:val="18"/>
                <w:szCs w:val="18"/>
              </w:rPr>
              <w:t xml:space="preserve"> BAT deux jours ouvrés</w:t>
            </w:r>
            <w:r>
              <w:rPr>
                <w:rFonts w:asciiTheme="minorHAnsi" w:hAnsiTheme="minorHAnsi" w:cstheme="minorHAnsi"/>
                <w:sz w:val="18"/>
                <w:szCs w:val="18"/>
              </w:rPr>
              <w:t xml:space="preserve"> </w:t>
            </w:r>
            <w:r w:rsidRPr="00701181">
              <w:rPr>
                <w:rFonts w:asciiTheme="minorHAnsi" w:hAnsiTheme="minorHAnsi" w:cstheme="minorHAnsi"/>
                <w:sz w:val="18"/>
                <w:szCs w:val="18"/>
              </w:rPr>
              <w:t>avant l’ICLI.</w:t>
            </w:r>
          </w:p>
        </w:tc>
      </w:tr>
      <w:tr w:rsidR="00A653D4" w:rsidTr="00A653D4">
        <w:tc>
          <w:tcPr>
            <w:tcW w:w="2108" w:type="dxa"/>
            <w:vMerge/>
          </w:tcPr>
          <w:p w:rsidR="00A653D4" w:rsidRPr="0077036F" w:rsidRDefault="00A653D4" w:rsidP="00A653D4">
            <w:pPr>
              <w:pStyle w:val="Corpsdetexte"/>
              <w:spacing w:line="256" w:lineRule="auto"/>
              <w:ind w:right="242"/>
              <w:jc w:val="both"/>
              <w:rPr>
                <w:rFonts w:asciiTheme="minorHAnsi" w:hAnsiTheme="minorHAnsi" w:cstheme="minorHAnsi"/>
                <w:sz w:val="18"/>
                <w:szCs w:val="18"/>
              </w:rPr>
            </w:pPr>
          </w:p>
        </w:tc>
        <w:tc>
          <w:tcPr>
            <w:tcW w:w="3893" w:type="dxa"/>
            <w:vMerge/>
          </w:tcPr>
          <w:p w:rsidR="00A653D4" w:rsidRPr="0077036F" w:rsidRDefault="00A653D4" w:rsidP="00A653D4">
            <w:pPr>
              <w:pStyle w:val="Corpsdetexte"/>
              <w:spacing w:line="256" w:lineRule="auto"/>
              <w:ind w:right="242"/>
              <w:jc w:val="both"/>
              <w:rPr>
                <w:rFonts w:asciiTheme="minorHAnsi" w:hAnsiTheme="minorHAnsi" w:cstheme="minorHAnsi"/>
                <w:sz w:val="18"/>
                <w:szCs w:val="18"/>
              </w:rPr>
            </w:pPr>
          </w:p>
        </w:tc>
        <w:tc>
          <w:tcPr>
            <w:tcW w:w="1038" w:type="dxa"/>
            <w:vAlign w:val="center"/>
          </w:tcPr>
          <w:p w:rsidR="00A653D4" w:rsidRPr="0077036F" w:rsidRDefault="00A653D4" w:rsidP="00A653D4">
            <w:pPr>
              <w:pStyle w:val="Corpsdetexte"/>
              <w:spacing w:line="256" w:lineRule="auto"/>
              <w:rPr>
                <w:rFonts w:asciiTheme="minorHAnsi" w:hAnsiTheme="minorHAnsi" w:cstheme="minorHAnsi"/>
                <w:i/>
                <w:sz w:val="18"/>
                <w:szCs w:val="18"/>
                <w:u w:val="single"/>
              </w:rPr>
            </w:pPr>
            <w:proofErr w:type="spellStart"/>
            <w:proofErr w:type="gramStart"/>
            <w:r>
              <w:rPr>
                <w:rFonts w:asciiTheme="minorHAnsi" w:hAnsiTheme="minorHAnsi" w:cstheme="minorHAnsi"/>
                <w:i/>
                <w:sz w:val="18"/>
                <w:szCs w:val="18"/>
                <w:u w:val="single"/>
              </w:rPr>
              <w:t>B.</w:t>
            </w:r>
            <w:r w:rsidRPr="0077036F">
              <w:rPr>
                <w:rFonts w:asciiTheme="minorHAnsi" w:hAnsiTheme="minorHAnsi" w:cstheme="minorHAnsi"/>
                <w:i/>
                <w:sz w:val="18"/>
                <w:szCs w:val="18"/>
                <w:u w:val="single"/>
              </w:rPr>
              <w:t>Pendant</w:t>
            </w:r>
            <w:proofErr w:type="spellEnd"/>
            <w:proofErr w:type="gramEnd"/>
            <w:r w:rsidRPr="0077036F">
              <w:rPr>
                <w:rFonts w:asciiTheme="minorHAnsi" w:hAnsiTheme="minorHAnsi" w:cstheme="minorHAnsi"/>
                <w:i/>
                <w:sz w:val="18"/>
                <w:szCs w:val="18"/>
                <w:u w:val="single"/>
              </w:rPr>
              <w:t xml:space="preserve"> l’ICLI</w:t>
            </w:r>
          </w:p>
          <w:p w:rsidR="00A653D4" w:rsidRPr="0077036F" w:rsidRDefault="00A653D4" w:rsidP="00A653D4">
            <w:pPr>
              <w:pStyle w:val="Corpsdetexte"/>
              <w:spacing w:line="256" w:lineRule="auto"/>
              <w:ind w:right="242"/>
              <w:rPr>
                <w:rFonts w:asciiTheme="minorHAnsi" w:hAnsiTheme="minorHAnsi" w:cstheme="minorHAnsi"/>
                <w:i/>
                <w:sz w:val="18"/>
                <w:szCs w:val="18"/>
                <w:u w:val="single"/>
              </w:rPr>
            </w:pPr>
          </w:p>
          <w:p w:rsidR="00A653D4" w:rsidRPr="0077036F" w:rsidRDefault="00A653D4" w:rsidP="00A653D4">
            <w:pPr>
              <w:pStyle w:val="Corpsdetexte"/>
              <w:spacing w:line="256" w:lineRule="auto"/>
              <w:ind w:right="242"/>
              <w:rPr>
                <w:rFonts w:asciiTheme="minorHAnsi" w:hAnsiTheme="minorHAnsi" w:cstheme="minorHAnsi"/>
                <w:i/>
                <w:sz w:val="18"/>
                <w:szCs w:val="18"/>
                <w:u w:val="single"/>
              </w:rPr>
            </w:pPr>
          </w:p>
        </w:tc>
        <w:tc>
          <w:tcPr>
            <w:tcW w:w="7931" w:type="dxa"/>
          </w:tcPr>
          <w:p w:rsidR="00A653D4" w:rsidRDefault="00A653D4" w:rsidP="00A653D4">
            <w:pPr>
              <w:pStyle w:val="Corpsdetexte"/>
              <w:spacing w:line="256" w:lineRule="auto"/>
              <w:ind w:right="242"/>
              <w:jc w:val="both"/>
              <w:rPr>
                <w:rFonts w:asciiTheme="minorHAnsi" w:hAnsiTheme="minorHAnsi" w:cstheme="minorHAnsi"/>
                <w:sz w:val="18"/>
                <w:szCs w:val="18"/>
              </w:rPr>
            </w:pPr>
            <w:r>
              <w:rPr>
                <w:rFonts w:asciiTheme="minorHAnsi" w:hAnsiTheme="minorHAnsi" w:cstheme="minorHAnsi"/>
                <w:sz w:val="18"/>
                <w:szCs w:val="18"/>
              </w:rPr>
              <w:t xml:space="preserve">B1. </w:t>
            </w:r>
            <w:r w:rsidRPr="0077036F">
              <w:rPr>
                <w:rFonts w:asciiTheme="minorHAnsi" w:hAnsiTheme="minorHAnsi" w:cstheme="minorHAnsi"/>
                <w:sz w:val="18"/>
                <w:szCs w:val="18"/>
              </w:rPr>
              <w:t>Les services Référent</w:t>
            </w:r>
            <w:r>
              <w:rPr>
                <w:rFonts w:asciiTheme="minorHAnsi" w:hAnsiTheme="minorHAnsi" w:cstheme="minorHAnsi"/>
                <w:sz w:val="18"/>
                <w:szCs w:val="18"/>
              </w:rPr>
              <w:t>s</w:t>
            </w:r>
            <w:r w:rsidRPr="0077036F">
              <w:rPr>
                <w:rFonts w:asciiTheme="minorHAnsi" w:hAnsiTheme="minorHAnsi" w:cstheme="minorHAnsi"/>
                <w:sz w:val="18"/>
                <w:szCs w:val="18"/>
              </w:rPr>
              <w:t xml:space="preserve"> se concertent et émettent un avis favorable ou un désaccord d’orientation</w:t>
            </w:r>
            <w:r>
              <w:rPr>
                <w:rFonts w:asciiTheme="minorHAnsi" w:hAnsiTheme="minorHAnsi" w:cstheme="minorHAnsi"/>
                <w:sz w:val="18"/>
                <w:szCs w:val="18"/>
              </w:rPr>
              <w:t xml:space="preserve">. </w:t>
            </w:r>
          </w:p>
          <w:p w:rsidR="00A653D4" w:rsidRDefault="00A653D4" w:rsidP="00A653D4">
            <w:pPr>
              <w:pStyle w:val="Corpsdetexte"/>
              <w:spacing w:line="256" w:lineRule="auto"/>
              <w:ind w:right="242"/>
              <w:jc w:val="both"/>
              <w:rPr>
                <w:rFonts w:asciiTheme="minorHAnsi" w:hAnsiTheme="minorHAnsi" w:cstheme="minorHAnsi"/>
                <w:sz w:val="18"/>
                <w:szCs w:val="18"/>
              </w:rPr>
            </w:pPr>
            <w:r>
              <w:rPr>
                <w:rFonts w:asciiTheme="minorHAnsi" w:hAnsiTheme="minorHAnsi" w:cstheme="minorHAnsi"/>
                <w:sz w:val="18"/>
                <w:szCs w:val="18"/>
              </w:rPr>
              <w:t>Deux méthodes :</w:t>
            </w:r>
          </w:p>
          <w:p w:rsidR="00A653D4" w:rsidRPr="00701181" w:rsidRDefault="00A653D4" w:rsidP="00A653D4">
            <w:pPr>
              <w:pStyle w:val="Corpsdetexte"/>
              <w:numPr>
                <w:ilvl w:val="0"/>
                <w:numId w:val="7"/>
              </w:numPr>
              <w:spacing w:line="256" w:lineRule="auto"/>
              <w:ind w:right="242"/>
              <w:jc w:val="both"/>
              <w:rPr>
                <w:rFonts w:asciiTheme="minorHAnsi" w:hAnsiTheme="minorHAnsi" w:cstheme="minorHAnsi"/>
                <w:sz w:val="18"/>
                <w:szCs w:val="18"/>
              </w:rPr>
            </w:pPr>
            <w:r w:rsidRPr="00701181">
              <w:rPr>
                <w:rFonts w:asciiTheme="minorHAnsi" w:hAnsiTheme="minorHAnsi" w:cstheme="minorHAnsi"/>
                <w:sz w:val="18"/>
                <w:szCs w:val="18"/>
              </w:rPr>
              <w:t>Les situations</w:t>
            </w:r>
            <w:r>
              <w:rPr>
                <w:rFonts w:asciiTheme="minorHAnsi" w:hAnsiTheme="minorHAnsi" w:cstheme="minorHAnsi"/>
                <w:sz w:val="18"/>
                <w:szCs w:val="18"/>
              </w:rPr>
              <w:t xml:space="preserve"> consensuelles, qui sont validées</w:t>
            </w:r>
            <w:r w:rsidRPr="00701181">
              <w:rPr>
                <w:rFonts w:asciiTheme="minorHAnsi" w:hAnsiTheme="minorHAnsi" w:cstheme="minorHAnsi"/>
                <w:sz w:val="18"/>
                <w:szCs w:val="18"/>
              </w:rPr>
              <w:t xml:space="preserve"> sur liste </w:t>
            </w:r>
            <w:r>
              <w:rPr>
                <w:rFonts w:asciiTheme="minorHAnsi" w:hAnsiTheme="minorHAnsi" w:cstheme="minorHAnsi"/>
                <w:sz w:val="18"/>
                <w:szCs w:val="18"/>
              </w:rPr>
              <w:t>au début</w:t>
            </w:r>
            <w:r w:rsidRPr="00701181">
              <w:rPr>
                <w:rFonts w:asciiTheme="minorHAnsi" w:hAnsiTheme="minorHAnsi" w:cstheme="minorHAnsi"/>
                <w:sz w:val="18"/>
                <w:szCs w:val="18"/>
              </w:rPr>
              <w:t xml:space="preserve"> de l’ICLI</w:t>
            </w:r>
            <w:r>
              <w:rPr>
                <w:rFonts w:asciiTheme="minorHAnsi" w:hAnsiTheme="minorHAnsi" w:cstheme="minorHAnsi"/>
                <w:sz w:val="18"/>
                <w:szCs w:val="18"/>
              </w:rPr>
              <w:t> ;</w:t>
            </w:r>
          </w:p>
          <w:p w:rsidR="00A653D4" w:rsidRDefault="00A653D4" w:rsidP="00A653D4">
            <w:pPr>
              <w:pStyle w:val="Corpsdetexte"/>
              <w:numPr>
                <w:ilvl w:val="0"/>
                <w:numId w:val="7"/>
              </w:numPr>
              <w:spacing w:line="256" w:lineRule="auto"/>
              <w:ind w:right="242"/>
              <w:jc w:val="both"/>
              <w:rPr>
                <w:rFonts w:asciiTheme="minorHAnsi" w:hAnsiTheme="minorHAnsi" w:cstheme="minorHAnsi"/>
                <w:sz w:val="18"/>
                <w:szCs w:val="18"/>
              </w:rPr>
            </w:pPr>
            <w:r>
              <w:rPr>
                <w:rFonts w:asciiTheme="minorHAnsi" w:hAnsiTheme="minorHAnsi" w:cstheme="minorHAnsi"/>
                <w:sz w:val="18"/>
                <w:szCs w:val="18"/>
              </w:rPr>
              <w:t>L</w:t>
            </w:r>
            <w:r w:rsidRPr="0077036F">
              <w:rPr>
                <w:rFonts w:asciiTheme="minorHAnsi" w:hAnsiTheme="minorHAnsi" w:cstheme="minorHAnsi"/>
                <w:sz w:val="18"/>
                <w:szCs w:val="18"/>
              </w:rPr>
              <w:t xml:space="preserve">es situations </w:t>
            </w:r>
            <w:r>
              <w:rPr>
                <w:rFonts w:asciiTheme="minorHAnsi" w:hAnsiTheme="minorHAnsi" w:cstheme="minorHAnsi"/>
                <w:sz w:val="18"/>
                <w:szCs w:val="18"/>
              </w:rPr>
              <w:t xml:space="preserve">plus </w:t>
            </w:r>
            <w:r w:rsidRPr="0077036F">
              <w:rPr>
                <w:rFonts w:asciiTheme="minorHAnsi" w:hAnsiTheme="minorHAnsi" w:cstheme="minorHAnsi"/>
                <w:sz w:val="18"/>
                <w:szCs w:val="18"/>
              </w:rPr>
              <w:t xml:space="preserve">complexes </w:t>
            </w:r>
            <w:r>
              <w:rPr>
                <w:rFonts w:asciiTheme="minorHAnsi" w:hAnsiTheme="minorHAnsi" w:cstheme="minorHAnsi"/>
                <w:sz w:val="18"/>
                <w:szCs w:val="18"/>
              </w:rPr>
              <w:t>qui font l’objet d’une discussion collégiale.</w:t>
            </w:r>
          </w:p>
          <w:p w:rsidR="00A653D4" w:rsidRPr="0077036F" w:rsidRDefault="00A653D4" w:rsidP="00A653D4">
            <w:pPr>
              <w:pStyle w:val="Corpsdetexte"/>
              <w:spacing w:line="256" w:lineRule="auto"/>
              <w:ind w:left="360" w:right="242"/>
              <w:jc w:val="both"/>
              <w:rPr>
                <w:rFonts w:asciiTheme="minorHAnsi" w:hAnsiTheme="minorHAnsi" w:cstheme="minorHAnsi"/>
                <w:sz w:val="18"/>
                <w:szCs w:val="18"/>
              </w:rPr>
            </w:pPr>
          </w:p>
          <w:p w:rsidR="00A653D4" w:rsidRPr="0077036F" w:rsidRDefault="00A653D4" w:rsidP="00A653D4">
            <w:pPr>
              <w:pStyle w:val="Corpsdetexte"/>
              <w:spacing w:line="256" w:lineRule="auto"/>
              <w:ind w:right="242"/>
              <w:jc w:val="both"/>
              <w:rPr>
                <w:rFonts w:asciiTheme="minorHAnsi" w:hAnsiTheme="minorHAnsi" w:cstheme="minorHAnsi"/>
                <w:sz w:val="18"/>
                <w:szCs w:val="18"/>
              </w:rPr>
            </w:pPr>
            <w:r>
              <w:rPr>
                <w:rFonts w:asciiTheme="minorHAnsi" w:hAnsiTheme="minorHAnsi" w:cstheme="minorHAnsi"/>
                <w:sz w:val="18"/>
                <w:szCs w:val="18"/>
              </w:rPr>
              <w:t xml:space="preserve">B2. </w:t>
            </w:r>
            <w:r w:rsidRPr="0077036F">
              <w:rPr>
                <w:rFonts w:asciiTheme="minorHAnsi" w:hAnsiTheme="minorHAnsi" w:cstheme="minorHAnsi"/>
                <w:sz w:val="18"/>
                <w:szCs w:val="18"/>
              </w:rPr>
              <w:t xml:space="preserve">Les résultats de la concertation sont </w:t>
            </w:r>
            <w:r>
              <w:rPr>
                <w:rFonts w:asciiTheme="minorHAnsi" w:hAnsiTheme="minorHAnsi" w:cstheme="minorHAnsi"/>
                <w:sz w:val="18"/>
                <w:szCs w:val="18"/>
              </w:rPr>
              <w:t xml:space="preserve">renseignés dans le tableau par l’ALI. Un compte rendu est rédigé par le ou la </w:t>
            </w:r>
            <w:proofErr w:type="spellStart"/>
            <w:proofErr w:type="gramStart"/>
            <w:r>
              <w:rPr>
                <w:rFonts w:asciiTheme="minorHAnsi" w:hAnsiTheme="minorHAnsi" w:cstheme="minorHAnsi"/>
                <w:sz w:val="18"/>
                <w:szCs w:val="18"/>
              </w:rPr>
              <w:t>chargé.e</w:t>
            </w:r>
            <w:proofErr w:type="spellEnd"/>
            <w:proofErr w:type="gramEnd"/>
            <w:r>
              <w:rPr>
                <w:rFonts w:asciiTheme="minorHAnsi" w:hAnsiTheme="minorHAnsi" w:cstheme="minorHAnsi"/>
                <w:sz w:val="18"/>
                <w:szCs w:val="18"/>
              </w:rPr>
              <w:t xml:space="preserve"> de projet BAT.</w:t>
            </w:r>
          </w:p>
        </w:tc>
      </w:tr>
      <w:tr w:rsidR="00A653D4" w:rsidTr="00A653D4">
        <w:tc>
          <w:tcPr>
            <w:tcW w:w="2108" w:type="dxa"/>
            <w:vMerge/>
          </w:tcPr>
          <w:p w:rsidR="00A653D4" w:rsidRPr="0077036F" w:rsidRDefault="00A653D4" w:rsidP="00A653D4">
            <w:pPr>
              <w:pStyle w:val="Corpsdetexte"/>
              <w:spacing w:line="256" w:lineRule="auto"/>
              <w:ind w:right="242"/>
              <w:jc w:val="both"/>
              <w:rPr>
                <w:rFonts w:asciiTheme="minorHAnsi" w:hAnsiTheme="minorHAnsi" w:cstheme="minorHAnsi"/>
                <w:sz w:val="18"/>
                <w:szCs w:val="18"/>
              </w:rPr>
            </w:pPr>
          </w:p>
        </w:tc>
        <w:tc>
          <w:tcPr>
            <w:tcW w:w="3893" w:type="dxa"/>
            <w:vMerge/>
          </w:tcPr>
          <w:p w:rsidR="00A653D4" w:rsidRPr="0077036F" w:rsidRDefault="00A653D4" w:rsidP="00A653D4">
            <w:pPr>
              <w:pStyle w:val="Corpsdetexte"/>
              <w:spacing w:line="256" w:lineRule="auto"/>
              <w:ind w:right="242"/>
              <w:jc w:val="both"/>
              <w:rPr>
                <w:rFonts w:asciiTheme="minorHAnsi" w:hAnsiTheme="minorHAnsi" w:cstheme="minorHAnsi"/>
                <w:sz w:val="18"/>
                <w:szCs w:val="18"/>
              </w:rPr>
            </w:pPr>
          </w:p>
        </w:tc>
        <w:tc>
          <w:tcPr>
            <w:tcW w:w="1038" w:type="dxa"/>
            <w:vAlign w:val="center"/>
          </w:tcPr>
          <w:p w:rsidR="00A653D4" w:rsidRPr="0077036F" w:rsidRDefault="00A653D4" w:rsidP="00A653D4">
            <w:pPr>
              <w:pStyle w:val="Corpsdetexte"/>
              <w:spacing w:line="256" w:lineRule="auto"/>
              <w:ind w:right="242"/>
              <w:rPr>
                <w:rFonts w:asciiTheme="minorHAnsi" w:hAnsiTheme="minorHAnsi" w:cstheme="minorHAnsi"/>
                <w:i/>
                <w:sz w:val="18"/>
                <w:szCs w:val="18"/>
                <w:u w:val="single"/>
              </w:rPr>
            </w:pPr>
            <w:r>
              <w:rPr>
                <w:rFonts w:asciiTheme="minorHAnsi" w:hAnsiTheme="minorHAnsi" w:cstheme="minorHAnsi"/>
                <w:i/>
                <w:sz w:val="18"/>
                <w:szCs w:val="18"/>
                <w:u w:val="single"/>
              </w:rPr>
              <w:t>C.</w:t>
            </w:r>
            <w:r w:rsidRPr="0077036F">
              <w:rPr>
                <w:rFonts w:asciiTheme="minorHAnsi" w:hAnsiTheme="minorHAnsi" w:cstheme="minorHAnsi"/>
                <w:i/>
                <w:sz w:val="18"/>
                <w:szCs w:val="18"/>
                <w:u w:val="single"/>
              </w:rPr>
              <w:t>A l’issue de l’ICL</w:t>
            </w:r>
            <w:r>
              <w:rPr>
                <w:rFonts w:asciiTheme="minorHAnsi" w:hAnsiTheme="minorHAnsi" w:cstheme="minorHAnsi"/>
                <w:i/>
                <w:sz w:val="18"/>
                <w:szCs w:val="18"/>
                <w:u w:val="single"/>
              </w:rPr>
              <w:t>I</w:t>
            </w:r>
          </w:p>
          <w:p w:rsidR="00A653D4" w:rsidRPr="0077036F" w:rsidRDefault="00A653D4" w:rsidP="00A653D4">
            <w:pPr>
              <w:pStyle w:val="Corpsdetexte"/>
              <w:spacing w:line="256" w:lineRule="auto"/>
              <w:ind w:right="242"/>
              <w:rPr>
                <w:rFonts w:asciiTheme="minorHAnsi" w:hAnsiTheme="minorHAnsi" w:cstheme="minorHAnsi"/>
                <w:i/>
                <w:sz w:val="18"/>
                <w:szCs w:val="18"/>
                <w:u w:val="single"/>
              </w:rPr>
            </w:pPr>
          </w:p>
        </w:tc>
        <w:tc>
          <w:tcPr>
            <w:tcW w:w="7931" w:type="dxa"/>
          </w:tcPr>
          <w:p w:rsidR="00A653D4" w:rsidRDefault="00A653D4" w:rsidP="00A653D4">
            <w:pPr>
              <w:pStyle w:val="Corpsdetexte"/>
              <w:spacing w:line="256" w:lineRule="auto"/>
              <w:ind w:right="242"/>
              <w:jc w:val="both"/>
              <w:rPr>
                <w:rFonts w:asciiTheme="minorHAnsi" w:hAnsiTheme="minorHAnsi" w:cstheme="minorHAnsi"/>
                <w:sz w:val="18"/>
                <w:szCs w:val="18"/>
              </w:rPr>
            </w:pPr>
            <w:r>
              <w:rPr>
                <w:rFonts w:asciiTheme="minorHAnsi" w:hAnsiTheme="minorHAnsi" w:cstheme="minorHAnsi"/>
                <w:sz w:val="18"/>
                <w:szCs w:val="18"/>
              </w:rPr>
              <w:t>C.</w:t>
            </w:r>
            <w:r w:rsidRPr="0077036F">
              <w:rPr>
                <w:rFonts w:asciiTheme="minorHAnsi" w:hAnsiTheme="minorHAnsi" w:cstheme="minorHAnsi"/>
                <w:sz w:val="18"/>
                <w:szCs w:val="18"/>
              </w:rPr>
              <w:t>1.Le service référent initial saisit la demande de réorientation vers WEBRSA et/ou (en absence de logiciel) complète le formulaire de saisine du département qui doit être envoyé par mail au BO</w:t>
            </w:r>
            <w:r>
              <w:rPr>
                <w:rFonts w:asciiTheme="minorHAnsi" w:hAnsiTheme="minorHAnsi" w:cstheme="minorHAnsi"/>
                <w:sz w:val="18"/>
                <w:szCs w:val="18"/>
              </w:rPr>
              <w:t xml:space="preserve">P : </w:t>
            </w:r>
            <w:hyperlink r:id="rId9" w:history="1">
              <w:r w:rsidRPr="009D35B5">
                <w:rPr>
                  <w:rStyle w:val="Lienhypertexte"/>
                  <w:rFonts w:asciiTheme="minorHAnsi" w:hAnsiTheme="minorHAnsi" w:cstheme="minorHAnsi"/>
                  <w:sz w:val="18"/>
                  <w:szCs w:val="18"/>
                </w:rPr>
                <w:t>bop@seinesaintdenis.fr</w:t>
              </w:r>
            </w:hyperlink>
            <w:r>
              <w:rPr>
                <w:rFonts w:asciiTheme="minorHAnsi" w:hAnsiTheme="minorHAnsi" w:cstheme="minorHAnsi"/>
                <w:sz w:val="18"/>
                <w:szCs w:val="18"/>
              </w:rPr>
              <w:t>;</w:t>
            </w:r>
          </w:p>
          <w:p w:rsidR="00A653D4" w:rsidRDefault="00A653D4" w:rsidP="00A653D4">
            <w:pPr>
              <w:pStyle w:val="Corpsdetexte"/>
              <w:spacing w:line="256" w:lineRule="auto"/>
              <w:ind w:right="242"/>
              <w:jc w:val="both"/>
              <w:rPr>
                <w:rFonts w:asciiTheme="minorHAnsi" w:hAnsiTheme="minorHAnsi" w:cstheme="minorHAnsi"/>
                <w:sz w:val="18"/>
                <w:szCs w:val="18"/>
              </w:rPr>
            </w:pPr>
          </w:p>
          <w:p w:rsidR="00A653D4" w:rsidRDefault="00A653D4" w:rsidP="00A653D4">
            <w:pPr>
              <w:pStyle w:val="Corpsdetexte"/>
              <w:spacing w:line="256" w:lineRule="auto"/>
              <w:ind w:right="242"/>
              <w:jc w:val="both"/>
              <w:rPr>
                <w:rFonts w:asciiTheme="minorHAnsi" w:hAnsiTheme="minorHAnsi" w:cstheme="minorHAnsi"/>
                <w:sz w:val="18"/>
                <w:szCs w:val="18"/>
              </w:rPr>
            </w:pPr>
            <w:r>
              <w:rPr>
                <w:rFonts w:asciiTheme="minorHAnsi" w:hAnsiTheme="minorHAnsi" w:cstheme="minorHAnsi"/>
                <w:sz w:val="18"/>
                <w:szCs w:val="18"/>
              </w:rPr>
              <w:t xml:space="preserve">C.2 Dans la semaine suivant l’ICLI, le ou </w:t>
            </w:r>
            <w:proofErr w:type="spellStart"/>
            <w:r>
              <w:rPr>
                <w:rFonts w:asciiTheme="minorHAnsi" w:hAnsiTheme="minorHAnsi" w:cstheme="minorHAnsi"/>
                <w:sz w:val="18"/>
                <w:szCs w:val="18"/>
              </w:rPr>
              <w:t xml:space="preserve">la </w:t>
            </w:r>
            <w:proofErr w:type="gramStart"/>
            <w:r>
              <w:rPr>
                <w:rFonts w:asciiTheme="minorHAnsi" w:hAnsiTheme="minorHAnsi" w:cstheme="minorHAnsi"/>
                <w:sz w:val="18"/>
                <w:szCs w:val="18"/>
              </w:rPr>
              <w:t>chargé.e</w:t>
            </w:r>
            <w:proofErr w:type="spellEnd"/>
            <w:proofErr w:type="gramEnd"/>
            <w:r>
              <w:rPr>
                <w:rFonts w:asciiTheme="minorHAnsi" w:hAnsiTheme="minorHAnsi" w:cstheme="minorHAnsi"/>
                <w:sz w:val="18"/>
                <w:szCs w:val="18"/>
              </w:rPr>
              <w:t xml:space="preserve"> de projet BAT renvoie aux participants le tableau renseigné et le compte rendu.</w:t>
            </w:r>
          </w:p>
          <w:p w:rsidR="00A653D4" w:rsidRDefault="00A653D4" w:rsidP="00A653D4">
            <w:pPr>
              <w:pStyle w:val="Corpsdetexte"/>
              <w:spacing w:line="256" w:lineRule="auto"/>
              <w:ind w:right="242"/>
              <w:jc w:val="both"/>
              <w:rPr>
                <w:rFonts w:asciiTheme="minorHAnsi" w:hAnsiTheme="minorHAnsi" w:cstheme="minorHAnsi"/>
                <w:sz w:val="18"/>
                <w:szCs w:val="18"/>
              </w:rPr>
            </w:pPr>
          </w:p>
          <w:p w:rsidR="00A653D4" w:rsidRPr="0077036F" w:rsidRDefault="00A653D4" w:rsidP="00A653D4">
            <w:pPr>
              <w:pStyle w:val="Corpsdetexte"/>
              <w:spacing w:line="256" w:lineRule="auto"/>
              <w:ind w:right="242"/>
              <w:jc w:val="both"/>
              <w:rPr>
                <w:rFonts w:asciiTheme="minorHAnsi" w:hAnsiTheme="minorHAnsi" w:cstheme="minorHAnsi"/>
                <w:sz w:val="18"/>
                <w:szCs w:val="18"/>
              </w:rPr>
            </w:pPr>
            <w:r>
              <w:rPr>
                <w:rFonts w:asciiTheme="minorHAnsi" w:hAnsiTheme="minorHAnsi" w:cstheme="minorHAnsi"/>
                <w:sz w:val="18"/>
                <w:szCs w:val="18"/>
              </w:rPr>
              <w:t>C.3</w:t>
            </w:r>
            <w:r w:rsidRPr="0077036F">
              <w:rPr>
                <w:rFonts w:asciiTheme="minorHAnsi" w:hAnsiTheme="minorHAnsi" w:cstheme="minorHAnsi"/>
                <w:sz w:val="18"/>
                <w:szCs w:val="18"/>
              </w:rPr>
              <w:t xml:space="preserve">. Les demandes de réorientation sont validées lors des EP et un courrier </w:t>
            </w:r>
            <w:r>
              <w:rPr>
                <w:rFonts w:asciiTheme="minorHAnsi" w:hAnsiTheme="minorHAnsi" w:cstheme="minorHAnsi"/>
                <w:sz w:val="18"/>
                <w:szCs w:val="18"/>
              </w:rPr>
              <w:t>est</w:t>
            </w:r>
            <w:r w:rsidRPr="0077036F">
              <w:rPr>
                <w:rFonts w:asciiTheme="minorHAnsi" w:hAnsiTheme="minorHAnsi" w:cstheme="minorHAnsi"/>
                <w:sz w:val="18"/>
                <w:szCs w:val="18"/>
              </w:rPr>
              <w:t xml:space="preserve"> envoyé à l’ARSA pour notifier la réorientation et lui communiquer les coordonnées d</w:t>
            </w:r>
            <w:r>
              <w:rPr>
                <w:rFonts w:asciiTheme="minorHAnsi" w:hAnsiTheme="minorHAnsi" w:cstheme="minorHAnsi"/>
                <w:sz w:val="18"/>
                <w:szCs w:val="18"/>
              </w:rPr>
              <w:t>e son no</w:t>
            </w:r>
            <w:r w:rsidRPr="0077036F">
              <w:rPr>
                <w:rFonts w:asciiTheme="minorHAnsi" w:hAnsiTheme="minorHAnsi" w:cstheme="minorHAnsi"/>
                <w:sz w:val="18"/>
                <w:szCs w:val="18"/>
              </w:rPr>
              <w:t>uveau service référent</w:t>
            </w:r>
            <w:r>
              <w:rPr>
                <w:rFonts w:asciiTheme="minorHAnsi" w:hAnsiTheme="minorHAnsi" w:cstheme="minorHAnsi"/>
                <w:sz w:val="18"/>
                <w:szCs w:val="18"/>
              </w:rPr>
              <w:t>.</w:t>
            </w:r>
          </w:p>
        </w:tc>
      </w:tr>
    </w:tbl>
    <w:p w:rsidR="0002221D" w:rsidRDefault="00A653D4" w:rsidP="00DF7972">
      <w:pPr>
        <w:pStyle w:val="Corpsdetexte"/>
        <w:spacing w:line="256" w:lineRule="auto"/>
        <w:ind w:right="242"/>
        <w:jc w:val="both"/>
      </w:pPr>
      <w:r>
        <w:lastRenderedPageBreak/>
        <w:t>Ob</w:t>
      </w:r>
      <w:bookmarkStart w:id="0" w:name="_GoBack"/>
      <w:bookmarkEnd w:id="0"/>
      <w:r w:rsidR="008B7EE3">
        <w:t xml:space="preserve">jet du Mail : </w:t>
      </w:r>
      <w:r w:rsidR="0002221D">
        <w:t>Préparation ICL</w:t>
      </w:r>
    </w:p>
    <w:p w:rsidR="0002221D" w:rsidRDefault="0002221D" w:rsidP="00DF7972">
      <w:pPr>
        <w:pStyle w:val="Corpsdetexte"/>
        <w:spacing w:line="256" w:lineRule="auto"/>
        <w:ind w:right="242"/>
        <w:jc w:val="both"/>
      </w:pPr>
    </w:p>
    <w:p w:rsidR="008B7EE3" w:rsidRDefault="008B7EE3" w:rsidP="00DF7972">
      <w:pPr>
        <w:pStyle w:val="Corpsdetexte"/>
        <w:spacing w:line="256" w:lineRule="auto"/>
        <w:ind w:right="242"/>
        <w:jc w:val="both"/>
      </w:pPr>
    </w:p>
    <w:p w:rsidR="008B7EE3" w:rsidRDefault="008B7EE3" w:rsidP="00DF7972">
      <w:pPr>
        <w:pStyle w:val="Corpsdetexte"/>
        <w:spacing w:line="256" w:lineRule="auto"/>
        <w:ind w:right="242"/>
        <w:jc w:val="both"/>
      </w:pPr>
      <w:r>
        <w:t>Bonjour,</w:t>
      </w:r>
    </w:p>
    <w:p w:rsidR="008B7EE3" w:rsidRDefault="008B7EE3" w:rsidP="00DF7972">
      <w:pPr>
        <w:pStyle w:val="Corpsdetexte"/>
        <w:spacing w:line="256" w:lineRule="auto"/>
        <w:ind w:right="242"/>
        <w:jc w:val="both"/>
      </w:pPr>
    </w:p>
    <w:p w:rsidR="008B7EE3" w:rsidRDefault="008B7EE3" w:rsidP="00DF7972">
      <w:pPr>
        <w:pStyle w:val="Corpsdetexte"/>
        <w:spacing w:line="256" w:lineRule="auto"/>
        <w:ind w:right="242"/>
        <w:jc w:val="both"/>
      </w:pPr>
      <w:r>
        <w:t>En préparation des prochaines ICL, nous vous invitions à prendre connaissance des outils et procédure pour créer les bonnes conditions d’organisation de celles-ci.</w:t>
      </w:r>
    </w:p>
    <w:p w:rsidR="008B7EE3" w:rsidRDefault="008B7EE3" w:rsidP="00DF7972">
      <w:pPr>
        <w:pStyle w:val="Corpsdetexte"/>
        <w:spacing w:line="256" w:lineRule="auto"/>
        <w:ind w:right="242"/>
        <w:jc w:val="both"/>
      </w:pPr>
    </w:p>
    <w:p w:rsidR="00DD3955" w:rsidRDefault="0002221D" w:rsidP="00DF7972">
      <w:pPr>
        <w:pStyle w:val="Corpsdetexte"/>
        <w:spacing w:line="256" w:lineRule="auto"/>
        <w:ind w:right="242"/>
        <w:jc w:val="both"/>
      </w:pPr>
      <w:r>
        <w:t xml:space="preserve">Vous trouverez en </w:t>
      </w:r>
      <w:proofErr w:type="spellStart"/>
      <w:r>
        <w:t>pj</w:t>
      </w:r>
      <w:proofErr w:type="spellEnd"/>
      <w:r w:rsidR="00DD3955">
        <w:t xml:space="preserve"> les éléments suivants :</w:t>
      </w:r>
    </w:p>
    <w:p w:rsidR="0002221D" w:rsidRDefault="00DD3955" w:rsidP="00DF7972">
      <w:pPr>
        <w:pStyle w:val="Corpsdetexte"/>
        <w:spacing w:line="256" w:lineRule="auto"/>
        <w:ind w:right="242"/>
        <w:jc w:val="both"/>
      </w:pPr>
      <w:r>
        <w:t>-</w:t>
      </w:r>
      <w:r w:rsidR="0002221D">
        <w:t>un tableau qui permet de consigner les situations qui seront étudiées lors de la prochaine ICL</w:t>
      </w:r>
      <w:r>
        <w:t> ;</w:t>
      </w:r>
    </w:p>
    <w:p w:rsidR="00DD3955" w:rsidRDefault="00DD3955" w:rsidP="00DF7972">
      <w:pPr>
        <w:pStyle w:val="Corpsdetexte"/>
        <w:spacing w:line="256" w:lineRule="auto"/>
        <w:ind w:right="242"/>
        <w:jc w:val="both"/>
      </w:pPr>
      <w:r>
        <w:t>-une fiche de saisine</w:t>
      </w:r>
    </w:p>
    <w:p w:rsidR="00DD3955" w:rsidRDefault="00DD3955" w:rsidP="00DF7972">
      <w:pPr>
        <w:pStyle w:val="Corpsdetexte"/>
        <w:spacing w:line="256" w:lineRule="auto"/>
        <w:ind w:right="242"/>
        <w:jc w:val="both"/>
      </w:pPr>
      <w:r>
        <w:t xml:space="preserve">-une programmation prévisionnelle annuelle des ICL </w:t>
      </w:r>
    </w:p>
    <w:p w:rsidR="0002221D" w:rsidRDefault="0002221D" w:rsidP="00DF7972">
      <w:pPr>
        <w:pStyle w:val="Corpsdetexte"/>
        <w:spacing w:line="256" w:lineRule="auto"/>
        <w:ind w:right="242"/>
        <w:jc w:val="both"/>
      </w:pPr>
    </w:p>
    <w:p w:rsidR="0002221D" w:rsidRDefault="0002221D" w:rsidP="00DF7972">
      <w:pPr>
        <w:pStyle w:val="Corpsdetexte"/>
        <w:spacing w:line="256" w:lineRule="auto"/>
        <w:ind w:right="242"/>
        <w:jc w:val="both"/>
      </w:pPr>
    </w:p>
    <w:p w:rsidR="008B7EE3" w:rsidRDefault="008B7EE3" w:rsidP="008B7EE3">
      <w:pPr>
        <w:pStyle w:val="Corpsdetexte"/>
        <w:numPr>
          <w:ilvl w:val="0"/>
          <w:numId w:val="6"/>
        </w:numPr>
        <w:spacing w:line="256" w:lineRule="auto"/>
        <w:ind w:right="242"/>
        <w:jc w:val="both"/>
        <w:rPr>
          <w:b/>
          <w:u w:val="single"/>
        </w:rPr>
      </w:pPr>
      <w:r w:rsidRPr="00DD3955">
        <w:rPr>
          <w:b/>
          <w:u w:val="single"/>
        </w:rPr>
        <w:t>Remplissage du tableau bord</w:t>
      </w:r>
    </w:p>
    <w:p w:rsidR="00DD3955" w:rsidRPr="00DD3955" w:rsidRDefault="00DD3955" w:rsidP="00DD3955">
      <w:pPr>
        <w:pStyle w:val="Corpsdetexte"/>
        <w:spacing w:line="256" w:lineRule="auto"/>
        <w:ind w:left="360" w:right="242"/>
        <w:jc w:val="both"/>
        <w:rPr>
          <w:b/>
          <w:u w:val="single"/>
        </w:rPr>
      </w:pPr>
    </w:p>
    <w:p w:rsidR="00DD3955" w:rsidRDefault="006B222C" w:rsidP="008B7EE3">
      <w:pPr>
        <w:pStyle w:val="Corpsdetexte"/>
        <w:spacing w:line="256" w:lineRule="auto"/>
        <w:ind w:right="242"/>
        <w:jc w:val="both"/>
      </w:pPr>
      <w:r>
        <w:t>Chaque service référent</w:t>
      </w:r>
      <w:r w:rsidR="0002221D">
        <w:t xml:space="preserve"> </w:t>
      </w:r>
      <w:r w:rsidR="008B7EE3">
        <w:t>remplit</w:t>
      </w:r>
      <w:r w:rsidR="0002221D">
        <w:t xml:space="preserve"> </w:t>
      </w:r>
      <w:r>
        <w:t>dûment le tableau transmis par le CD 93 et le renvoie autres services référents afin de prendre connaissances de l’ensemble des situations qui seront évoquée lors de l’ICL et mettre en copie le</w:t>
      </w:r>
      <w:r w:rsidR="00DD3955">
        <w:t>/la</w:t>
      </w:r>
      <w:r>
        <w:t xml:space="preserve"> </w:t>
      </w:r>
      <w:proofErr w:type="spellStart"/>
      <w:r>
        <w:t>Chargé</w:t>
      </w:r>
      <w:r w:rsidR="00DD3955">
        <w:t>.</w:t>
      </w:r>
      <w:r>
        <w:t>e</w:t>
      </w:r>
      <w:proofErr w:type="spellEnd"/>
      <w:r>
        <w:t xml:space="preserve"> de projet d’Animation territoriale</w:t>
      </w:r>
      <w:r w:rsidR="008B7EE3">
        <w:t xml:space="preserve">. </w:t>
      </w:r>
    </w:p>
    <w:p w:rsidR="00DD3955" w:rsidRDefault="00DD3955" w:rsidP="008B7EE3">
      <w:pPr>
        <w:pStyle w:val="Corpsdetexte"/>
        <w:spacing w:line="256" w:lineRule="auto"/>
        <w:ind w:right="242"/>
        <w:jc w:val="both"/>
      </w:pPr>
    </w:p>
    <w:p w:rsidR="00DD3955" w:rsidRDefault="006B222C" w:rsidP="008B7EE3">
      <w:pPr>
        <w:pStyle w:val="Corpsdetexte"/>
        <w:spacing w:line="256" w:lineRule="auto"/>
        <w:ind w:right="242"/>
        <w:jc w:val="both"/>
      </w:pPr>
      <w:r>
        <w:t xml:space="preserve">Dans le cadre des RGPD, la transmission des tableaux doit être sécurisée : par exemple, </w:t>
      </w:r>
      <w:proofErr w:type="spellStart"/>
      <w:r>
        <w:t>Wetransfert</w:t>
      </w:r>
      <w:proofErr w:type="spellEnd"/>
      <w:r>
        <w:t>.</w:t>
      </w:r>
      <w:r w:rsidR="008B7EE3">
        <w:t xml:space="preserve"> </w:t>
      </w:r>
    </w:p>
    <w:p w:rsidR="00DD3955" w:rsidRDefault="00DD3955" w:rsidP="008B7EE3">
      <w:pPr>
        <w:pStyle w:val="Corpsdetexte"/>
        <w:spacing w:line="256" w:lineRule="auto"/>
        <w:ind w:right="242"/>
        <w:jc w:val="both"/>
      </w:pPr>
    </w:p>
    <w:p w:rsidR="006B222C" w:rsidRDefault="006B222C" w:rsidP="008B7EE3">
      <w:pPr>
        <w:pStyle w:val="Corpsdetexte"/>
        <w:spacing w:line="256" w:lineRule="auto"/>
        <w:ind w:right="242"/>
        <w:jc w:val="both"/>
      </w:pPr>
      <w:r>
        <w:t>Les tableaux doivent être envoyés 48 heures avant l’ICL</w:t>
      </w:r>
    </w:p>
    <w:p w:rsidR="008B7EE3" w:rsidRDefault="008B7EE3" w:rsidP="008B7EE3">
      <w:pPr>
        <w:pStyle w:val="Corpsdetexte"/>
        <w:spacing w:line="256" w:lineRule="auto"/>
        <w:ind w:right="242"/>
        <w:jc w:val="both"/>
        <w:rPr>
          <w:sz w:val="22"/>
          <w:szCs w:val="22"/>
        </w:rPr>
      </w:pPr>
    </w:p>
    <w:p w:rsidR="008B7EE3" w:rsidRDefault="008B7EE3" w:rsidP="008B7EE3">
      <w:pPr>
        <w:pStyle w:val="Corpsdetexte"/>
        <w:spacing w:line="256" w:lineRule="auto"/>
        <w:ind w:right="242"/>
        <w:jc w:val="both"/>
      </w:pPr>
    </w:p>
    <w:p w:rsidR="008B7EE3" w:rsidRPr="00DD3955" w:rsidRDefault="008B7EE3" w:rsidP="008B7EE3">
      <w:pPr>
        <w:pStyle w:val="Corpsdetexte"/>
        <w:numPr>
          <w:ilvl w:val="0"/>
          <w:numId w:val="6"/>
        </w:numPr>
        <w:spacing w:line="256" w:lineRule="auto"/>
        <w:ind w:right="242"/>
        <w:jc w:val="both"/>
        <w:rPr>
          <w:b/>
          <w:u w:val="single"/>
        </w:rPr>
      </w:pPr>
      <w:r w:rsidRPr="00DD3955">
        <w:rPr>
          <w:b/>
          <w:u w:val="single"/>
        </w:rPr>
        <w:t xml:space="preserve">Rappel de la procédure </w:t>
      </w:r>
    </w:p>
    <w:p w:rsidR="008B7EE3" w:rsidRDefault="008B7EE3" w:rsidP="008B7EE3">
      <w:pPr>
        <w:pStyle w:val="Corpsdetexte"/>
        <w:spacing w:line="256" w:lineRule="auto"/>
        <w:ind w:right="242"/>
        <w:jc w:val="both"/>
      </w:pPr>
    </w:p>
    <w:p w:rsidR="008B7EE3" w:rsidRDefault="008B7EE3" w:rsidP="008B7EE3">
      <w:pPr>
        <w:pStyle w:val="Corpsdetexte"/>
        <w:spacing w:line="256" w:lineRule="auto"/>
        <w:ind w:right="242"/>
        <w:jc w:val="both"/>
      </w:pPr>
      <w:r>
        <w:t>Pour rappel, l</w:t>
      </w:r>
      <w:r w:rsidR="006B222C">
        <w:t xml:space="preserve">a </w:t>
      </w:r>
      <w:r>
        <w:t>f</w:t>
      </w:r>
      <w:r w:rsidR="006B222C">
        <w:t>iche de saisine doit émaner du service référent initial</w:t>
      </w:r>
      <w:r>
        <w:t xml:space="preserve">. </w:t>
      </w:r>
    </w:p>
    <w:p w:rsidR="008B7EE3" w:rsidRDefault="008B7EE3" w:rsidP="008B7EE3">
      <w:pPr>
        <w:pStyle w:val="Corpsdetexte"/>
        <w:spacing w:line="256" w:lineRule="auto"/>
        <w:ind w:right="242"/>
        <w:jc w:val="both"/>
      </w:pPr>
      <w:r>
        <w:t>A l’issue de l’ICL, les préconisations décidées sont transmises au département pour une validation en EP.</w:t>
      </w:r>
    </w:p>
    <w:p w:rsidR="0002221D" w:rsidRDefault="0002221D" w:rsidP="00DF7972">
      <w:pPr>
        <w:pStyle w:val="Corpsdetexte"/>
        <w:spacing w:line="256" w:lineRule="auto"/>
        <w:ind w:right="242"/>
        <w:jc w:val="both"/>
      </w:pPr>
    </w:p>
    <w:p w:rsidR="0002221D" w:rsidRDefault="0002221D" w:rsidP="00DF7972">
      <w:pPr>
        <w:pStyle w:val="Corpsdetexte"/>
        <w:spacing w:line="256" w:lineRule="auto"/>
        <w:ind w:right="242"/>
        <w:jc w:val="both"/>
      </w:pPr>
    </w:p>
    <w:p w:rsidR="00657241" w:rsidRDefault="00657241" w:rsidP="00B83091">
      <w:pPr>
        <w:pStyle w:val="Corpsdetexte"/>
        <w:spacing w:line="256" w:lineRule="auto"/>
        <w:ind w:right="242"/>
        <w:jc w:val="both"/>
      </w:pPr>
    </w:p>
    <w:sectPr w:rsidR="00657241" w:rsidSect="00B83091">
      <w:footerReference w:type="default" r:id="rId10"/>
      <w:pgSz w:w="16840" w:h="11900" w:orient="landscape"/>
      <w:pgMar w:top="981" w:right="879" w:bottom="981" w:left="981" w:header="0" w:footer="782"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047D9" w:rsidRDefault="00E047D9">
      <w:r>
        <w:separator/>
      </w:r>
    </w:p>
  </w:endnote>
  <w:endnote w:type="continuationSeparator" w:id="0">
    <w:p w:rsidR="00E047D9" w:rsidRDefault="00E047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Arial MT">
    <w:altName w:val="Arial"/>
    <w:charset w:val="01"/>
    <w:family w:val="swiss"/>
    <w:pitch w:val="variable"/>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657241" w:rsidRDefault="0011064B">
    <w:pPr>
      <w:pStyle w:val="Corpsdetexte"/>
      <w:spacing w:line="14" w:lineRule="auto"/>
      <w:rPr>
        <w:sz w:val="20"/>
      </w:rPr>
    </w:pPr>
    <w:r>
      <w:rPr>
        <w:noProof/>
      </w:rPr>
      <mc:AlternateContent>
        <mc:Choice Requires="wps">
          <w:drawing>
            <wp:anchor distT="0" distB="0" distL="114300" distR="114300" simplePos="0" relativeHeight="251657728" behindDoc="1" locked="0" layoutInCell="1" allowOverlap="1">
              <wp:simplePos x="0" y="0"/>
              <wp:positionH relativeFrom="page">
                <wp:posOffset>6743700</wp:posOffset>
              </wp:positionH>
              <wp:positionV relativeFrom="page">
                <wp:posOffset>10056495</wp:posOffset>
              </wp:positionV>
              <wp:extent cx="133350" cy="152400"/>
              <wp:effectExtent l="0" t="0" r="0" b="0"/>
              <wp:wrapNone/>
              <wp:docPr id="4"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3350" cy="1524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657241" w:rsidRDefault="000E4E1C">
                          <w:pPr>
                            <w:spacing w:before="12"/>
                            <w:ind w:left="60"/>
                            <w:rPr>
                              <w:rFonts w:ascii="Times New Roman"/>
                              <w:sz w:val="18"/>
                            </w:rPr>
                          </w:pPr>
                          <w:r>
                            <w:fldChar w:fldCharType="begin"/>
                          </w:r>
                          <w:r>
                            <w:rPr>
                              <w:rFonts w:ascii="Times New Roman"/>
                              <w:w w:val="99"/>
                              <w:sz w:val="18"/>
                            </w:rPr>
                            <w:instrText xml:space="preserve"> PAGE </w:instrText>
                          </w:r>
                          <w:r>
                            <w:fldChar w:fldCharType="separate"/>
                          </w:r>
                          <w:r>
                            <w:t>1</w:t>
                          </w:r>
                          <w:r>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 o:spid="_x0000_s1026" type="#_x0000_t202" style="position:absolute;margin-left:531pt;margin-top:791.85pt;width:10.5pt;height:12pt;z-index:-25165875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" filled="f" stroked="f">
              <v:textbox inset="0,0,0,0">
                <w:txbxContent>
                  <w:p w:rsidR="00657241" w:rsidRDefault="000E4E1C">
                    <w:pPr>
                      <w:spacing w:before="12"/>
                      <w:ind w:left="60"/>
                      <w:rPr>
                        <w:rFonts w:ascii="Times New Roman"/>
                        <w:sz w:val="18"/>
                      </w:rPr>
                    </w:pPr>
                    <w:r>
                      <w:fldChar w:fldCharType="begin"/>
                    </w:r>
                    <w:r>
                      <w:rPr>
                        <w:rFonts w:ascii="Times New Roman"/>
                        <w:w w:val="99"/>
                        <w:sz w:val="18"/>
                      </w:rPr>
                      <w:instrText xml:space="preserve"> PAGE </w:instrText>
                    </w:r>
                    <w:r>
                      <w:fldChar w:fldCharType="separate"/>
                    </w:r>
                    <w:r>
                      <w:t>1</w:t>
                    </w:r>
                    <w:r>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047D9" w:rsidRDefault="00E047D9">
      <w:r>
        <w:separator/>
      </w:r>
    </w:p>
  </w:footnote>
  <w:footnote w:type="continuationSeparator" w:id="0">
    <w:p w:rsidR="00E047D9" w:rsidRDefault="00E047D9">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270DE9"/>
    <w:multiLevelType w:val="hybridMultilevel"/>
    <w:tmpl w:val="ACC0D65A"/>
    <w:lvl w:ilvl="0" w:tplc="BB12452A">
      <w:numFmt w:val="bullet"/>
      <w:lvlText w:val="-"/>
      <w:lvlJc w:val="left"/>
      <w:pPr>
        <w:ind w:left="872" w:hanging="540"/>
      </w:pPr>
      <w:rPr>
        <w:rFonts w:ascii="Arial MT" w:eastAsia="Arial MT" w:hAnsi="Arial MT" w:cs="Arial MT" w:hint="default"/>
        <w:w w:val="100"/>
        <w:sz w:val="22"/>
        <w:szCs w:val="22"/>
        <w:lang w:val="fr-FR" w:eastAsia="en-US" w:bidi="ar-SA"/>
      </w:rPr>
    </w:lvl>
    <w:lvl w:ilvl="1" w:tplc="AE1E387C">
      <w:numFmt w:val="bullet"/>
      <w:lvlText w:val="•"/>
      <w:lvlJc w:val="left"/>
      <w:pPr>
        <w:ind w:left="1796" w:hanging="540"/>
      </w:pPr>
      <w:rPr>
        <w:rFonts w:hint="default"/>
        <w:lang w:val="fr-FR" w:eastAsia="en-US" w:bidi="ar-SA"/>
      </w:rPr>
    </w:lvl>
    <w:lvl w:ilvl="2" w:tplc="5F3E6A60">
      <w:numFmt w:val="bullet"/>
      <w:lvlText w:val="•"/>
      <w:lvlJc w:val="left"/>
      <w:pPr>
        <w:ind w:left="2712" w:hanging="540"/>
      </w:pPr>
      <w:rPr>
        <w:rFonts w:hint="default"/>
        <w:lang w:val="fr-FR" w:eastAsia="en-US" w:bidi="ar-SA"/>
      </w:rPr>
    </w:lvl>
    <w:lvl w:ilvl="3" w:tplc="6D189F72">
      <w:numFmt w:val="bullet"/>
      <w:lvlText w:val="•"/>
      <w:lvlJc w:val="left"/>
      <w:pPr>
        <w:ind w:left="3628" w:hanging="540"/>
      </w:pPr>
      <w:rPr>
        <w:rFonts w:hint="default"/>
        <w:lang w:val="fr-FR" w:eastAsia="en-US" w:bidi="ar-SA"/>
      </w:rPr>
    </w:lvl>
    <w:lvl w:ilvl="4" w:tplc="723866E4">
      <w:numFmt w:val="bullet"/>
      <w:lvlText w:val="•"/>
      <w:lvlJc w:val="left"/>
      <w:pPr>
        <w:ind w:left="4544" w:hanging="540"/>
      </w:pPr>
      <w:rPr>
        <w:rFonts w:hint="default"/>
        <w:lang w:val="fr-FR" w:eastAsia="en-US" w:bidi="ar-SA"/>
      </w:rPr>
    </w:lvl>
    <w:lvl w:ilvl="5" w:tplc="B1BE7652">
      <w:numFmt w:val="bullet"/>
      <w:lvlText w:val="•"/>
      <w:lvlJc w:val="left"/>
      <w:pPr>
        <w:ind w:left="5460" w:hanging="540"/>
      </w:pPr>
      <w:rPr>
        <w:rFonts w:hint="default"/>
        <w:lang w:val="fr-FR" w:eastAsia="en-US" w:bidi="ar-SA"/>
      </w:rPr>
    </w:lvl>
    <w:lvl w:ilvl="6" w:tplc="865273BE">
      <w:numFmt w:val="bullet"/>
      <w:lvlText w:val="•"/>
      <w:lvlJc w:val="left"/>
      <w:pPr>
        <w:ind w:left="6376" w:hanging="540"/>
      </w:pPr>
      <w:rPr>
        <w:rFonts w:hint="default"/>
        <w:lang w:val="fr-FR" w:eastAsia="en-US" w:bidi="ar-SA"/>
      </w:rPr>
    </w:lvl>
    <w:lvl w:ilvl="7" w:tplc="CDA0310A">
      <w:numFmt w:val="bullet"/>
      <w:lvlText w:val="•"/>
      <w:lvlJc w:val="left"/>
      <w:pPr>
        <w:ind w:left="7292" w:hanging="540"/>
      </w:pPr>
      <w:rPr>
        <w:rFonts w:hint="default"/>
        <w:lang w:val="fr-FR" w:eastAsia="en-US" w:bidi="ar-SA"/>
      </w:rPr>
    </w:lvl>
    <w:lvl w:ilvl="8" w:tplc="989AEED8">
      <w:numFmt w:val="bullet"/>
      <w:lvlText w:val="•"/>
      <w:lvlJc w:val="left"/>
      <w:pPr>
        <w:ind w:left="8208" w:hanging="540"/>
      </w:pPr>
      <w:rPr>
        <w:rFonts w:hint="default"/>
        <w:lang w:val="fr-FR" w:eastAsia="en-US" w:bidi="ar-SA"/>
      </w:rPr>
    </w:lvl>
  </w:abstractNum>
  <w:abstractNum w:abstractNumId="1" w15:restartNumberingAfterBreak="0">
    <w:nsid w:val="226E217F"/>
    <w:multiLevelType w:val="hybridMultilevel"/>
    <w:tmpl w:val="6922A4B4"/>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 w15:restartNumberingAfterBreak="0">
    <w:nsid w:val="231346BB"/>
    <w:multiLevelType w:val="hybridMultilevel"/>
    <w:tmpl w:val="32AC6134"/>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3C5F51AC"/>
    <w:multiLevelType w:val="hybridMultilevel"/>
    <w:tmpl w:val="1006393E"/>
    <w:lvl w:ilvl="0" w:tplc="4F70E1E8">
      <w:numFmt w:val="bullet"/>
      <w:lvlText w:val=""/>
      <w:lvlJc w:val="left"/>
      <w:pPr>
        <w:ind w:left="872" w:hanging="360"/>
      </w:pPr>
      <w:rPr>
        <w:rFonts w:ascii="Symbol" w:eastAsia="Symbol" w:hAnsi="Symbol" w:cs="Symbol" w:hint="default"/>
        <w:w w:val="100"/>
        <w:sz w:val="21"/>
        <w:szCs w:val="21"/>
        <w:lang w:val="fr-FR" w:eastAsia="en-US" w:bidi="ar-SA"/>
      </w:rPr>
    </w:lvl>
    <w:lvl w:ilvl="1" w:tplc="1E52B3E8">
      <w:numFmt w:val="bullet"/>
      <w:lvlText w:val="-"/>
      <w:lvlJc w:val="left"/>
      <w:pPr>
        <w:ind w:left="1592" w:hanging="336"/>
      </w:pPr>
      <w:rPr>
        <w:rFonts w:ascii="Arial MT" w:eastAsia="Arial MT" w:hAnsi="Arial MT" w:cs="Arial MT" w:hint="default"/>
        <w:w w:val="100"/>
        <w:sz w:val="21"/>
        <w:szCs w:val="21"/>
        <w:lang w:val="fr-FR" w:eastAsia="en-US" w:bidi="ar-SA"/>
      </w:rPr>
    </w:lvl>
    <w:lvl w:ilvl="2" w:tplc="6C4E7C10">
      <w:numFmt w:val="bullet"/>
      <w:lvlText w:val="•"/>
      <w:lvlJc w:val="left"/>
      <w:pPr>
        <w:ind w:left="2537" w:hanging="336"/>
      </w:pPr>
      <w:rPr>
        <w:rFonts w:hint="default"/>
        <w:lang w:val="fr-FR" w:eastAsia="en-US" w:bidi="ar-SA"/>
      </w:rPr>
    </w:lvl>
    <w:lvl w:ilvl="3" w:tplc="F49A75C8">
      <w:numFmt w:val="bullet"/>
      <w:lvlText w:val="•"/>
      <w:lvlJc w:val="left"/>
      <w:pPr>
        <w:ind w:left="3475" w:hanging="336"/>
      </w:pPr>
      <w:rPr>
        <w:rFonts w:hint="default"/>
        <w:lang w:val="fr-FR" w:eastAsia="en-US" w:bidi="ar-SA"/>
      </w:rPr>
    </w:lvl>
    <w:lvl w:ilvl="4" w:tplc="14984CFE">
      <w:numFmt w:val="bullet"/>
      <w:lvlText w:val="•"/>
      <w:lvlJc w:val="left"/>
      <w:pPr>
        <w:ind w:left="4413" w:hanging="336"/>
      </w:pPr>
      <w:rPr>
        <w:rFonts w:hint="default"/>
        <w:lang w:val="fr-FR" w:eastAsia="en-US" w:bidi="ar-SA"/>
      </w:rPr>
    </w:lvl>
    <w:lvl w:ilvl="5" w:tplc="16725748">
      <w:numFmt w:val="bullet"/>
      <w:lvlText w:val="•"/>
      <w:lvlJc w:val="left"/>
      <w:pPr>
        <w:ind w:left="5351" w:hanging="336"/>
      </w:pPr>
      <w:rPr>
        <w:rFonts w:hint="default"/>
        <w:lang w:val="fr-FR" w:eastAsia="en-US" w:bidi="ar-SA"/>
      </w:rPr>
    </w:lvl>
    <w:lvl w:ilvl="6" w:tplc="EB5E301E">
      <w:numFmt w:val="bullet"/>
      <w:lvlText w:val="•"/>
      <w:lvlJc w:val="left"/>
      <w:pPr>
        <w:ind w:left="6288" w:hanging="336"/>
      </w:pPr>
      <w:rPr>
        <w:rFonts w:hint="default"/>
        <w:lang w:val="fr-FR" w:eastAsia="en-US" w:bidi="ar-SA"/>
      </w:rPr>
    </w:lvl>
    <w:lvl w:ilvl="7" w:tplc="4CBC2BCA">
      <w:numFmt w:val="bullet"/>
      <w:lvlText w:val="•"/>
      <w:lvlJc w:val="left"/>
      <w:pPr>
        <w:ind w:left="7226" w:hanging="336"/>
      </w:pPr>
      <w:rPr>
        <w:rFonts w:hint="default"/>
        <w:lang w:val="fr-FR" w:eastAsia="en-US" w:bidi="ar-SA"/>
      </w:rPr>
    </w:lvl>
    <w:lvl w:ilvl="8" w:tplc="2842E6BE">
      <w:numFmt w:val="bullet"/>
      <w:lvlText w:val="•"/>
      <w:lvlJc w:val="left"/>
      <w:pPr>
        <w:ind w:left="8164" w:hanging="336"/>
      </w:pPr>
      <w:rPr>
        <w:rFonts w:hint="default"/>
        <w:lang w:val="fr-FR" w:eastAsia="en-US" w:bidi="ar-SA"/>
      </w:rPr>
    </w:lvl>
  </w:abstractNum>
  <w:abstractNum w:abstractNumId="4" w15:restartNumberingAfterBreak="0">
    <w:nsid w:val="479F6698"/>
    <w:multiLevelType w:val="hybridMultilevel"/>
    <w:tmpl w:val="36826B9A"/>
    <w:lvl w:ilvl="0" w:tplc="88E2E238">
      <w:start w:val="1"/>
      <w:numFmt w:val="upperLetter"/>
      <w:lvlText w:val="%1)"/>
      <w:lvlJc w:val="left"/>
      <w:pPr>
        <w:ind w:left="872" w:hanging="360"/>
      </w:pPr>
      <w:rPr>
        <w:rFonts w:ascii="Arial" w:eastAsia="Arial" w:hAnsi="Arial" w:cs="Arial" w:hint="default"/>
        <w:b/>
        <w:bCs/>
        <w:spacing w:val="-6"/>
        <w:w w:val="100"/>
        <w:sz w:val="22"/>
        <w:szCs w:val="22"/>
        <w:lang w:val="fr-FR" w:eastAsia="en-US" w:bidi="ar-SA"/>
      </w:rPr>
    </w:lvl>
    <w:lvl w:ilvl="1" w:tplc="207EC242">
      <w:numFmt w:val="bullet"/>
      <w:lvlText w:val="•"/>
      <w:lvlJc w:val="left"/>
      <w:pPr>
        <w:ind w:left="1796" w:hanging="360"/>
      </w:pPr>
      <w:rPr>
        <w:rFonts w:hint="default"/>
        <w:lang w:val="fr-FR" w:eastAsia="en-US" w:bidi="ar-SA"/>
      </w:rPr>
    </w:lvl>
    <w:lvl w:ilvl="2" w:tplc="065A1612">
      <w:numFmt w:val="bullet"/>
      <w:lvlText w:val="•"/>
      <w:lvlJc w:val="left"/>
      <w:pPr>
        <w:ind w:left="2712" w:hanging="360"/>
      </w:pPr>
      <w:rPr>
        <w:rFonts w:hint="default"/>
        <w:lang w:val="fr-FR" w:eastAsia="en-US" w:bidi="ar-SA"/>
      </w:rPr>
    </w:lvl>
    <w:lvl w:ilvl="3" w:tplc="05C82DCE">
      <w:numFmt w:val="bullet"/>
      <w:lvlText w:val="•"/>
      <w:lvlJc w:val="left"/>
      <w:pPr>
        <w:ind w:left="3628" w:hanging="360"/>
      </w:pPr>
      <w:rPr>
        <w:rFonts w:hint="default"/>
        <w:lang w:val="fr-FR" w:eastAsia="en-US" w:bidi="ar-SA"/>
      </w:rPr>
    </w:lvl>
    <w:lvl w:ilvl="4" w:tplc="A5821DFE">
      <w:numFmt w:val="bullet"/>
      <w:lvlText w:val="•"/>
      <w:lvlJc w:val="left"/>
      <w:pPr>
        <w:ind w:left="4544" w:hanging="360"/>
      </w:pPr>
      <w:rPr>
        <w:rFonts w:hint="default"/>
        <w:lang w:val="fr-FR" w:eastAsia="en-US" w:bidi="ar-SA"/>
      </w:rPr>
    </w:lvl>
    <w:lvl w:ilvl="5" w:tplc="E21AC102">
      <w:numFmt w:val="bullet"/>
      <w:lvlText w:val="•"/>
      <w:lvlJc w:val="left"/>
      <w:pPr>
        <w:ind w:left="5460" w:hanging="360"/>
      </w:pPr>
      <w:rPr>
        <w:rFonts w:hint="default"/>
        <w:lang w:val="fr-FR" w:eastAsia="en-US" w:bidi="ar-SA"/>
      </w:rPr>
    </w:lvl>
    <w:lvl w:ilvl="6" w:tplc="0A7224EE">
      <w:numFmt w:val="bullet"/>
      <w:lvlText w:val="•"/>
      <w:lvlJc w:val="left"/>
      <w:pPr>
        <w:ind w:left="6376" w:hanging="360"/>
      </w:pPr>
      <w:rPr>
        <w:rFonts w:hint="default"/>
        <w:lang w:val="fr-FR" w:eastAsia="en-US" w:bidi="ar-SA"/>
      </w:rPr>
    </w:lvl>
    <w:lvl w:ilvl="7" w:tplc="17B60DDE">
      <w:numFmt w:val="bullet"/>
      <w:lvlText w:val="•"/>
      <w:lvlJc w:val="left"/>
      <w:pPr>
        <w:ind w:left="7292" w:hanging="360"/>
      </w:pPr>
      <w:rPr>
        <w:rFonts w:hint="default"/>
        <w:lang w:val="fr-FR" w:eastAsia="en-US" w:bidi="ar-SA"/>
      </w:rPr>
    </w:lvl>
    <w:lvl w:ilvl="8" w:tplc="641E6DB0">
      <w:numFmt w:val="bullet"/>
      <w:lvlText w:val="•"/>
      <w:lvlJc w:val="left"/>
      <w:pPr>
        <w:ind w:left="8208" w:hanging="360"/>
      </w:pPr>
      <w:rPr>
        <w:rFonts w:hint="default"/>
        <w:lang w:val="fr-FR" w:eastAsia="en-US" w:bidi="ar-SA"/>
      </w:rPr>
    </w:lvl>
  </w:abstractNum>
  <w:abstractNum w:abstractNumId="5" w15:restartNumberingAfterBreak="0">
    <w:nsid w:val="4F34438D"/>
    <w:multiLevelType w:val="hybridMultilevel"/>
    <w:tmpl w:val="8B48C8A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6" w15:restartNumberingAfterBreak="0">
    <w:nsid w:val="66FF045D"/>
    <w:multiLevelType w:val="hybridMultilevel"/>
    <w:tmpl w:val="1722DCDA"/>
    <w:lvl w:ilvl="0" w:tplc="1ED63D9A">
      <w:numFmt w:val="bullet"/>
      <w:lvlText w:val="-"/>
      <w:lvlJc w:val="left"/>
      <w:pPr>
        <w:ind w:left="1220" w:hanging="360"/>
      </w:pPr>
      <w:rPr>
        <w:rFonts w:ascii="Arial MT" w:eastAsia="Arial MT" w:hAnsi="Arial MT" w:cs="Arial MT" w:hint="default"/>
        <w:w w:val="100"/>
        <w:sz w:val="22"/>
        <w:szCs w:val="22"/>
        <w:lang w:val="fr-FR" w:eastAsia="en-US" w:bidi="ar-SA"/>
      </w:rPr>
    </w:lvl>
    <w:lvl w:ilvl="1" w:tplc="9348B832">
      <w:numFmt w:val="bullet"/>
      <w:lvlText w:val="•"/>
      <w:lvlJc w:val="left"/>
      <w:pPr>
        <w:ind w:left="2102" w:hanging="360"/>
      </w:pPr>
      <w:rPr>
        <w:rFonts w:hint="default"/>
        <w:lang w:val="fr-FR" w:eastAsia="en-US" w:bidi="ar-SA"/>
      </w:rPr>
    </w:lvl>
    <w:lvl w:ilvl="2" w:tplc="FC4C74D0">
      <w:numFmt w:val="bullet"/>
      <w:lvlText w:val="•"/>
      <w:lvlJc w:val="left"/>
      <w:pPr>
        <w:ind w:left="2984" w:hanging="360"/>
      </w:pPr>
      <w:rPr>
        <w:rFonts w:hint="default"/>
        <w:lang w:val="fr-FR" w:eastAsia="en-US" w:bidi="ar-SA"/>
      </w:rPr>
    </w:lvl>
    <w:lvl w:ilvl="3" w:tplc="CD6E8E7E">
      <w:numFmt w:val="bullet"/>
      <w:lvlText w:val="•"/>
      <w:lvlJc w:val="left"/>
      <w:pPr>
        <w:ind w:left="3866" w:hanging="360"/>
      </w:pPr>
      <w:rPr>
        <w:rFonts w:hint="default"/>
        <w:lang w:val="fr-FR" w:eastAsia="en-US" w:bidi="ar-SA"/>
      </w:rPr>
    </w:lvl>
    <w:lvl w:ilvl="4" w:tplc="F19EE162">
      <w:numFmt w:val="bullet"/>
      <w:lvlText w:val="•"/>
      <w:lvlJc w:val="left"/>
      <w:pPr>
        <w:ind w:left="4748" w:hanging="360"/>
      </w:pPr>
      <w:rPr>
        <w:rFonts w:hint="default"/>
        <w:lang w:val="fr-FR" w:eastAsia="en-US" w:bidi="ar-SA"/>
      </w:rPr>
    </w:lvl>
    <w:lvl w:ilvl="5" w:tplc="00260CB0">
      <w:numFmt w:val="bullet"/>
      <w:lvlText w:val="•"/>
      <w:lvlJc w:val="left"/>
      <w:pPr>
        <w:ind w:left="5630" w:hanging="360"/>
      </w:pPr>
      <w:rPr>
        <w:rFonts w:hint="default"/>
        <w:lang w:val="fr-FR" w:eastAsia="en-US" w:bidi="ar-SA"/>
      </w:rPr>
    </w:lvl>
    <w:lvl w:ilvl="6" w:tplc="FDFA247C">
      <w:numFmt w:val="bullet"/>
      <w:lvlText w:val="•"/>
      <w:lvlJc w:val="left"/>
      <w:pPr>
        <w:ind w:left="6512" w:hanging="360"/>
      </w:pPr>
      <w:rPr>
        <w:rFonts w:hint="default"/>
        <w:lang w:val="fr-FR" w:eastAsia="en-US" w:bidi="ar-SA"/>
      </w:rPr>
    </w:lvl>
    <w:lvl w:ilvl="7" w:tplc="F35819A4">
      <w:numFmt w:val="bullet"/>
      <w:lvlText w:val="•"/>
      <w:lvlJc w:val="left"/>
      <w:pPr>
        <w:ind w:left="7394" w:hanging="360"/>
      </w:pPr>
      <w:rPr>
        <w:rFonts w:hint="default"/>
        <w:lang w:val="fr-FR" w:eastAsia="en-US" w:bidi="ar-SA"/>
      </w:rPr>
    </w:lvl>
    <w:lvl w:ilvl="8" w:tplc="02F0FBAE">
      <w:numFmt w:val="bullet"/>
      <w:lvlText w:val="•"/>
      <w:lvlJc w:val="left"/>
      <w:pPr>
        <w:ind w:left="8276" w:hanging="360"/>
      </w:pPr>
      <w:rPr>
        <w:rFonts w:hint="default"/>
        <w:lang w:val="fr-FR" w:eastAsia="en-US" w:bidi="ar-SA"/>
      </w:rPr>
    </w:lvl>
  </w:abstractNum>
  <w:abstractNum w:abstractNumId="7" w15:restartNumberingAfterBreak="0">
    <w:nsid w:val="71870C7F"/>
    <w:multiLevelType w:val="hybridMultilevel"/>
    <w:tmpl w:val="19E4BB5E"/>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8" w15:restartNumberingAfterBreak="0">
    <w:nsid w:val="74CC0727"/>
    <w:multiLevelType w:val="hybridMultilevel"/>
    <w:tmpl w:val="6A84D9CA"/>
    <w:lvl w:ilvl="0" w:tplc="040C0011">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15:restartNumberingAfterBreak="0">
    <w:nsid w:val="75A5101B"/>
    <w:multiLevelType w:val="hybridMultilevel"/>
    <w:tmpl w:val="387A26E6"/>
    <w:lvl w:ilvl="0" w:tplc="040C0001">
      <w:start w:val="1"/>
      <w:numFmt w:val="bullet"/>
      <w:lvlText w:val=""/>
      <w:lvlJc w:val="left"/>
      <w:pPr>
        <w:ind w:left="1592" w:hanging="360"/>
      </w:pPr>
      <w:rPr>
        <w:rFonts w:ascii="Symbol" w:hAnsi="Symbol" w:hint="default"/>
      </w:rPr>
    </w:lvl>
    <w:lvl w:ilvl="1" w:tplc="040C0003" w:tentative="1">
      <w:start w:val="1"/>
      <w:numFmt w:val="bullet"/>
      <w:lvlText w:val="o"/>
      <w:lvlJc w:val="left"/>
      <w:pPr>
        <w:ind w:left="2312" w:hanging="360"/>
      </w:pPr>
      <w:rPr>
        <w:rFonts w:ascii="Courier New" w:hAnsi="Courier New" w:cs="Courier New" w:hint="default"/>
      </w:rPr>
    </w:lvl>
    <w:lvl w:ilvl="2" w:tplc="040C0005" w:tentative="1">
      <w:start w:val="1"/>
      <w:numFmt w:val="bullet"/>
      <w:lvlText w:val=""/>
      <w:lvlJc w:val="left"/>
      <w:pPr>
        <w:ind w:left="3032" w:hanging="360"/>
      </w:pPr>
      <w:rPr>
        <w:rFonts w:ascii="Wingdings" w:hAnsi="Wingdings" w:hint="default"/>
      </w:rPr>
    </w:lvl>
    <w:lvl w:ilvl="3" w:tplc="040C0001" w:tentative="1">
      <w:start w:val="1"/>
      <w:numFmt w:val="bullet"/>
      <w:lvlText w:val=""/>
      <w:lvlJc w:val="left"/>
      <w:pPr>
        <w:ind w:left="3752" w:hanging="360"/>
      </w:pPr>
      <w:rPr>
        <w:rFonts w:ascii="Symbol" w:hAnsi="Symbol" w:hint="default"/>
      </w:rPr>
    </w:lvl>
    <w:lvl w:ilvl="4" w:tplc="040C0003" w:tentative="1">
      <w:start w:val="1"/>
      <w:numFmt w:val="bullet"/>
      <w:lvlText w:val="o"/>
      <w:lvlJc w:val="left"/>
      <w:pPr>
        <w:ind w:left="4472" w:hanging="360"/>
      </w:pPr>
      <w:rPr>
        <w:rFonts w:ascii="Courier New" w:hAnsi="Courier New" w:cs="Courier New" w:hint="default"/>
      </w:rPr>
    </w:lvl>
    <w:lvl w:ilvl="5" w:tplc="040C0005" w:tentative="1">
      <w:start w:val="1"/>
      <w:numFmt w:val="bullet"/>
      <w:lvlText w:val=""/>
      <w:lvlJc w:val="left"/>
      <w:pPr>
        <w:ind w:left="5192" w:hanging="360"/>
      </w:pPr>
      <w:rPr>
        <w:rFonts w:ascii="Wingdings" w:hAnsi="Wingdings" w:hint="default"/>
      </w:rPr>
    </w:lvl>
    <w:lvl w:ilvl="6" w:tplc="040C0001" w:tentative="1">
      <w:start w:val="1"/>
      <w:numFmt w:val="bullet"/>
      <w:lvlText w:val=""/>
      <w:lvlJc w:val="left"/>
      <w:pPr>
        <w:ind w:left="5912" w:hanging="360"/>
      </w:pPr>
      <w:rPr>
        <w:rFonts w:ascii="Symbol" w:hAnsi="Symbol" w:hint="default"/>
      </w:rPr>
    </w:lvl>
    <w:lvl w:ilvl="7" w:tplc="040C0003" w:tentative="1">
      <w:start w:val="1"/>
      <w:numFmt w:val="bullet"/>
      <w:lvlText w:val="o"/>
      <w:lvlJc w:val="left"/>
      <w:pPr>
        <w:ind w:left="6632" w:hanging="360"/>
      </w:pPr>
      <w:rPr>
        <w:rFonts w:ascii="Courier New" w:hAnsi="Courier New" w:cs="Courier New" w:hint="default"/>
      </w:rPr>
    </w:lvl>
    <w:lvl w:ilvl="8" w:tplc="040C0005" w:tentative="1">
      <w:start w:val="1"/>
      <w:numFmt w:val="bullet"/>
      <w:lvlText w:val=""/>
      <w:lvlJc w:val="left"/>
      <w:pPr>
        <w:ind w:left="7352" w:hanging="360"/>
      </w:pPr>
      <w:rPr>
        <w:rFonts w:ascii="Wingdings" w:hAnsi="Wingdings" w:hint="default"/>
      </w:rPr>
    </w:lvl>
  </w:abstractNum>
  <w:abstractNum w:abstractNumId="10" w15:restartNumberingAfterBreak="0">
    <w:nsid w:val="797C62E8"/>
    <w:multiLevelType w:val="hybridMultilevel"/>
    <w:tmpl w:val="F0209EA6"/>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0"/>
  </w:num>
  <w:num w:numId="2">
    <w:abstractNumId w:val="4"/>
  </w:num>
  <w:num w:numId="3">
    <w:abstractNumId w:val="3"/>
  </w:num>
  <w:num w:numId="4">
    <w:abstractNumId w:val="6"/>
  </w:num>
  <w:num w:numId="5">
    <w:abstractNumId w:val="2"/>
  </w:num>
  <w:num w:numId="6">
    <w:abstractNumId w:val="8"/>
  </w:num>
  <w:num w:numId="7">
    <w:abstractNumId w:val="10"/>
  </w:num>
  <w:num w:numId="8">
    <w:abstractNumId w:val="1"/>
  </w:num>
  <w:num w:numId="9">
    <w:abstractNumId w:val="9"/>
  </w:num>
  <w:num w:numId="10">
    <w:abstractNumId w:val="7"/>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10241"/>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57241"/>
    <w:rsid w:val="0000337A"/>
    <w:rsid w:val="0002221D"/>
    <w:rsid w:val="000E4E1C"/>
    <w:rsid w:val="0011064B"/>
    <w:rsid w:val="001173DD"/>
    <w:rsid w:val="00165ECD"/>
    <w:rsid w:val="002358FE"/>
    <w:rsid w:val="002557EE"/>
    <w:rsid w:val="00297F47"/>
    <w:rsid w:val="002A138F"/>
    <w:rsid w:val="00395281"/>
    <w:rsid w:val="003C26CD"/>
    <w:rsid w:val="00484465"/>
    <w:rsid w:val="005671AF"/>
    <w:rsid w:val="005B4CF7"/>
    <w:rsid w:val="00625829"/>
    <w:rsid w:val="00653835"/>
    <w:rsid w:val="00657241"/>
    <w:rsid w:val="00662DDD"/>
    <w:rsid w:val="006B222C"/>
    <w:rsid w:val="00701181"/>
    <w:rsid w:val="0077036F"/>
    <w:rsid w:val="00775D02"/>
    <w:rsid w:val="007B6B8A"/>
    <w:rsid w:val="0081010A"/>
    <w:rsid w:val="00830E0C"/>
    <w:rsid w:val="008924E4"/>
    <w:rsid w:val="008B7EE3"/>
    <w:rsid w:val="008F4956"/>
    <w:rsid w:val="009434D3"/>
    <w:rsid w:val="009938CF"/>
    <w:rsid w:val="00996270"/>
    <w:rsid w:val="00996EB6"/>
    <w:rsid w:val="00A4029D"/>
    <w:rsid w:val="00A43C78"/>
    <w:rsid w:val="00A447B9"/>
    <w:rsid w:val="00A653D4"/>
    <w:rsid w:val="00AA5672"/>
    <w:rsid w:val="00AA72DD"/>
    <w:rsid w:val="00AC208F"/>
    <w:rsid w:val="00AC20A1"/>
    <w:rsid w:val="00B70BB9"/>
    <w:rsid w:val="00B83091"/>
    <w:rsid w:val="00BC13BB"/>
    <w:rsid w:val="00BF2082"/>
    <w:rsid w:val="00C030E7"/>
    <w:rsid w:val="00CC2A55"/>
    <w:rsid w:val="00D135DD"/>
    <w:rsid w:val="00D26003"/>
    <w:rsid w:val="00D42D2E"/>
    <w:rsid w:val="00D513DD"/>
    <w:rsid w:val="00DC09AB"/>
    <w:rsid w:val="00DD3955"/>
    <w:rsid w:val="00DF7972"/>
    <w:rsid w:val="00E047D9"/>
    <w:rsid w:val="00F16A8F"/>
    <w:rsid w:val="00F173FB"/>
    <w:rsid w:val="00F239B9"/>
    <w:rsid w:val="00F278CA"/>
    <w:rsid w:val="00F52000"/>
    <w:rsid w:val="00F70C3A"/>
    <w:rsid w:val="00F721E5"/>
    <w:rsid w:val="00F94ACA"/>
    <w:rsid w:val="00F97862"/>
    <w:rsid w:val="00FF2172"/>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41"/>
    <o:shapelayout v:ext="edit">
      <o:idmap v:ext="edit" data="1"/>
    </o:shapelayout>
  </w:shapeDefaults>
  <w:decimalSymbol w:val=","/>
  <w:listSeparator w:val=";"/>
  <w14:docId w14:val="1026427E"/>
  <w15:docId w15:val="{CF3596BC-D8EE-4574-911B-FE67DE261C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Pr>
      <w:rFonts w:ascii="Arial MT" w:eastAsia="Arial MT" w:hAnsi="Arial MT" w:cs="Arial MT"/>
      <w:lang w:val="fr-FR"/>
    </w:rPr>
  </w:style>
  <w:style w:type="paragraph" w:styleId="Titre1">
    <w:name w:val="heading 1"/>
    <w:basedOn w:val="Normal"/>
    <w:uiPriority w:val="9"/>
    <w:qFormat/>
    <w:pPr>
      <w:ind w:left="152"/>
      <w:outlineLvl w:val="0"/>
    </w:pPr>
    <w:rPr>
      <w:rFonts w:ascii="Arial" w:eastAsia="Arial" w:hAnsi="Arial" w:cs="Arial"/>
      <w:b/>
      <w:bCs/>
      <w:u w:val="single" w:color="00000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Corpsdetexte">
    <w:name w:val="Body Text"/>
    <w:basedOn w:val="Normal"/>
    <w:uiPriority w:val="1"/>
    <w:qFormat/>
    <w:rPr>
      <w:sz w:val="21"/>
      <w:szCs w:val="21"/>
    </w:rPr>
  </w:style>
  <w:style w:type="paragraph" w:styleId="Titre">
    <w:name w:val="Title"/>
    <w:basedOn w:val="Normal"/>
    <w:uiPriority w:val="10"/>
    <w:qFormat/>
    <w:pPr>
      <w:spacing w:before="88"/>
      <w:ind w:left="1667" w:right="1187"/>
      <w:jc w:val="center"/>
    </w:pPr>
    <w:rPr>
      <w:rFonts w:ascii="Arial" w:eastAsia="Arial" w:hAnsi="Arial" w:cs="Arial"/>
      <w:b/>
      <w:bCs/>
      <w:sz w:val="29"/>
      <w:szCs w:val="29"/>
    </w:rPr>
  </w:style>
  <w:style w:type="paragraph" w:styleId="Paragraphedeliste">
    <w:name w:val="List Paragraph"/>
    <w:basedOn w:val="Normal"/>
    <w:uiPriority w:val="1"/>
    <w:qFormat/>
    <w:pPr>
      <w:ind w:left="872" w:hanging="361"/>
    </w:pPr>
  </w:style>
  <w:style w:type="paragraph" w:customStyle="1" w:styleId="TableParagraph">
    <w:name w:val="Table Paragraph"/>
    <w:basedOn w:val="Normal"/>
    <w:uiPriority w:val="1"/>
    <w:qFormat/>
  </w:style>
  <w:style w:type="table" w:styleId="Grilledutableau">
    <w:name w:val="Table Grid"/>
    <w:basedOn w:val="TableauNormal"/>
    <w:uiPriority w:val="39"/>
    <w:rsid w:val="00DF797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DF7972"/>
    <w:rPr>
      <w:rFonts w:ascii="Segoe UI" w:hAnsi="Segoe UI" w:cs="Segoe UI"/>
      <w:sz w:val="18"/>
      <w:szCs w:val="18"/>
    </w:rPr>
  </w:style>
  <w:style w:type="character" w:customStyle="1" w:styleId="TextedebullesCar">
    <w:name w:val="Texte de bulles Car"/>
    <w:basedOn w:val="Policepardfaut"/>
    <w:link w:val="Textedebulles"/>
    <w:uiPriority w:val="99"/>
    <w:semiHidden/>
    <w:rsid w:val="00DF7972"/>
    <w:rPr>
      <w:rFonts w:ascii="Segoe UI" w:eastAsia="Arial MT" w:hAnsi="Segoe UI" w:cs="Segoe UI"/>
      <w:sz w:val="18"/>
      <w:szCs w:val="18"/>
      <w:lang w:val="fr-FR"/>
    </w:rPr>
  </w:style>
  <w:style w:type="paragraph" w:styleId="Notedebasdepage">
    <w:name w:val="footnote text"/>
    <w:basedOn w:val="Normal"/>
    <w:link w:val="NotedebasdepageCar"/>
    <w:uiPriority w:val="99"/>
    <w:semiHidden/>
    <w:unhideWhenUsed/>
    <w:rsid w:val="00FF2172"/>
    <w:rPr>
      <w:sz w:val="20"/>
      <w:szCs w:val="20"/>
    </w:rPr>
  </w:style>
  <w:style w:type="character" w:customStyle="1" w:styleId="NotedebasdepageCar">
    <w:name w:val="Note de bas de page Car"/>
    <w:basedOn w:val="Policepardfaut"/>
    <w:link w:val="Notedebasdepage"/>
    <w:uiPriority w:val="99"/>
    <w:semiHidden/>
    <w:rsid w:val="00FF2172"/>
    <w:rPr>
      <w:rFonts w:ascii="Arial MT" w:eastAsia="Arial MT" w:hAnsi="Arial MT" w:cs="Arial MT"/>
      <w:sz w:val="20"/>
      <w:szCs w:val="20"/>
      <w:lang w:val="fr-FR"/>
    </w:rPr>
  </w:style>
  <w:style w:type="character" w:styleId="Appelnotedebasdep">
    <w:name w:val="footnote reference"/>
    <w:basedOn w:val="Policepardfaut"/>
    <w:uiPriority w:val="99"/>
    <w:semiHidden/>
    <w:unhideWhenUsed/>
    <w:rsid w:val="00FF2172"/>
    <w:rPr>
      <w:vertAlign w:val="superscript"/>
    </w:rPr>
  </w:style>
  <w:style w:type="character" w:styleId="Lienhypertexte">
    <w:name w:val="Hyperlink"/>
    <w:basedOn w:val="Policepardfaut"/>
    <w:uiPriority w:val="99"/>
    <w:unhideWhenUsed/>
    <w:rsid w:val="00701181"/>
    <w:rPr>
      <w:color w:val="0000FF" w:themeColor="hyperlink"/>
      <w:u w:val="single"/>
    </w:rPr>
  </w:style>
  <w:style w:type="character" w:styleId="Mentionnonrsolue">
    <w:name w:val="Unresolved Mention"/>
    <w:basedOn w:val="Policepardfaut"/>
    <w:uiPriority w:val="99"/>
    <w:semiHidden/>
    <w:unhideWhenUsed/>
    <w:rsid w:val="0070118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8" Type="http://schemas.openxmlformats.org/officeDocument/2006/relationships/hyperlink" Target="mailto:bop@seinesaintdenis.f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yperlink" Target="mailto:bop@seinesaintdenis.f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C4E59E-4EBE-45E4-A264-6764E7F6D04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667</Words>
  <Characters>3669</Characters>
  <Application>Microsoft Office Word</Application>
  <DocSecurity>0</DocSecurity>
  <Lines>30</Lines>
  <Paragraphs>8</Paragraphs>
  <ScaleCrop>false</ScaleCrop>
  <HeadingPairs>
    <vt:vector size="2" baseType="variant">
      <vt:variant>
        <vt:lpstr>Titre</vt:lpstr>
      </vt:variant>
      <vt:variant>
        <vt:i4>1</vt:i4>
      </vt:variant>
    </vt:vector>
  </HeadingPairs>
  <TitlesOfParts>
    <vt:vector size="1" baseType="lpstr">
      <vt:lpstr>Cadrage ICL Vaa 25 03 2015</vt:lpstr>
    </vt:vector>
  </TitlesOfParts>
  <Company>Conseil Départemental de la Seine Saint Denis</Company>
  <LinksUpToDate>false</LinksUpToDate>
  <CharactersWithSpaces>4328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Cadrage ICL Vaa 25 03 2015</dc:title>
  <dc:creator>aahovey</dc:creator>
  <cp:lastModifiedBy>Hugo Ruiz</cp:lastModifiedBy>
  <cp:revision>16</cp:revision>
  <cp:lastPrinted>2023-09-14T06:32:00Z</cp:lastPrinted>
  <dcterms:created xsi:type="dcterms:W3CDTF">2023-08-31T11:59:00Z</dcterms:created>
  <dcterms:modified xsi:type="dcterms:W3CDTF">2023-10-03T14:40:00Z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2015-03-25T00:00:00Z</vt:filetime>
  </property>
  <property fmtid="{D5CDD505-2E9C-101B-9397-08002B2CF9AE}" pid="3" name="Creator">
    <vt:lpwstr>PDFCreator Version 0.9.1</vt:lpwstr>
  </property>
  <property fmtid="{D5CDD505-2E9C-101B-9397-08002B2CF9AE}" pid="4" name="LastSaved">
    <vt:filetime>2023-08-07T00:00:00Z</vt:filetime>
  </property>
</Properties>
</file>